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杭银理财-</w:t>
      </w:r>
      <w:r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  <w:t>幸福99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季添益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1908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期理财计划（TYG3M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eastAsia="zh-CN"/>
        </w:rPr>
        <w:t>1908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）</w:t>
      </w:r>
    </w:p>
    <w:p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hAnsi="微软雅黑" w:cs="宋体"/>
          <w:b/>
          <w:bCs/>
          <w:color w:val="004EA2"/>
          <w:kern w:val="0"/>
          <w:sz w:val="27"/>
          <w:szCs w:val="27"/>
        </w:rPr>
      </w:pP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业绩比较基准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  <w:lang w:val="en-US" w:eastAsia="zh-CN"/>
        </w:rPr>
        <w:t>及产品说明书</w:t>
      </w:r>
      <w:r>
        <w:rPr>
          <w:rFonts w:hint="eastAsia" w:ascii="微软雅黑" w:hAnsi="微软雅黑" w:cs="宋体"/>
          <w:b/>
          <w:bCs/>
          <w:color w:val="004EA2"/>
          <w:kern w:val="0"/>
          <w:sz w:val="27"/>
          <w:szCs w:val="27"/>
        </w:rPr>
        <w:t>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hint="eastAsia"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尊敬的投资者：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根据市场情况及产品所投资的资产组合收益变动情况，杭银理财幸福99季添益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1908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期理财计划</w:t>
      </w:r>
      <w:bookmarkStart w:id="0" w:name="_GoBack"/>
      <w:bookmarkEnd w:id="0"/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下一运行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周期（2022年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26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日至202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3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年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月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31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日）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的业绩比较基准如下：</w:t>
      </w:r>
    </w:p>
    <w:tbl>
      <w:tblPr>
        <w:tblStyle w:val="8"/>
        <w:tblW w:w="84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33"/>
        <w:gridCol w:w="3000"/>
        <w:gridCol w:w="31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2333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产品份额</w:t>
            </w:r>
          </w:p>
        </w:tc>
        <w:tc>
          <w:tcPr>
            <w:tcW w:w="3000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销售代码</w:t>
            </w:r>
          </w:p>
        </w:tc>
        <w:tc>
          <w:tcPr>
            <w:tcW w:w="3101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业绩比较基准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333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A份额</w:t>
            </w:r>
          </w:p>
        </w:tc>
        <w:tc>
          <w:tcPr>
            <w:tcW w:w="3000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TYG3M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1908</w:t>
            </w:r>
          </w:p>
        </w:tc>
        <w:tc>
          <w:tcPr>
            <w:tcW w:w="3101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3.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%-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3.80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333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份额</w:t>
            </w:r>
          </w:p>
        </w:tc>
        <w:tc>
          <w:tcPr>
            <w:tcW w:w="3000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default"/>
                <w:lang w:val="en-US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TYG3M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1908B</w:t>
            </w:r>
          </w:p>
        </w:tc>
        <w:tc>
          <w:tcPr>
            <w:tcW w:w="3101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3.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%-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3.90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2333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  <w:t>C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份额</w:t>
            </w:r>
          </w:p>
        </w:tc>
        <w:tc>
          <w:tcPr>
            <w:tcW w:w="3000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default" w:ascii="宋体" w:hAnsi="宋体" w:cs="宋体"/>
                <w:color w:val="333333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TYG3M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1908C</w:t>
            </w:r>
          </w:p>
        </w:tc>
        <w:tc>
          <w:tcPr>
            <w:tcW w:w="3101" w:type="dxa"/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3.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%-</w:t>
            </w:r>
            <w:r>
              <w:rPr>
                <w:rFonts w:hint="eastAsia" w:cs="宋体"/>
                <w:color w:val="333333"/>
                <w:kern w:val="0"/>
                <w:sz w:val="24"/>
                <w:szCs w:val="24"/>
                <w:lang w:val="en-US" w:eastAsia="zh-CN"/>
              </w:rPr>
              <w:t>3.95</w:t>
            </w:r>
            <w:r>
              <w:rPr>
                <w:rFonts w:hint="eastAsia" w:ascii="宋体" w:hAnsi="宋体" w:cs="宋体"/>
                <w:color w:val="333333"/>
                <w:kern w:val="0"/>
                <w:sz w:val="24"/>
                <w:szCs w:val="24"/>
              </w:rPr>
              <w:t>%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开放期具体安排如下，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开放期最后一日及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确认日如遇非工作日，则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依次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顺延至下一工作日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，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请投资者提前做好投资安排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eastAsia="zh-CN"/>
        </w:rPr>
        <w:t>。</w:t>
      </w:r>
    </w:p>
    <w:tbl>
      <w:tblPr>
        <w:tblStyle w:val="8"/>
        <w:tblW w:w="843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2415"/>
        <w:gridCol w:w="1560"/>
        <w:gridCol w:w="1560"/>
        <w:gridCol w:w="2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8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序号</w:t>
            </w:r>
          </w:p>
        </w:tc>
        <w:tc>
          <w:tcPr>
            <w:tcW w:w="24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0"/>
                <w:sz w:val="24"/>
                <w:szCs w:val="24"/>
              </w:rPr>
              <w:t>时间安排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开放周期</w:t>
            </w:r>
          </w:p>
        </w:tc>
        <w:tc>
          <w:tcPr>
            <w:tcW w:w="15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确认日</w:t>
            </w:r>
          </w:p>
        </w:tc>
        <w:tc>
          <w:tcPr>
            <w:tcW w:w="2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交易类型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1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2022-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19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 xml:space="preserve"> 9:00至2022-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 xml:space="preserve">25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17:00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开放期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2022-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26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可申购、赎回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7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0"/>
                <w:sz w:val="24"/>
                <w:szCs w:val="24"/>
              </w:rPr>
              <w:t>2</w:t>
            </w:r>
          </w:p>
        </w:tc>
        <w:tc>
          <w:tcPr>
            <w:tcW w:w="24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highlight w:val="none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highlight w:val="none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highlight w:val="none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highlight w:val="none"/>
                <w:lang w:val="en-US" w:eastAsia="zh-CN"/>
              </w:rPr>
              <w:t>18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highlight w:val="none"/>
              </w:rPr>
              <w:t xml:space="preserve"> 9:0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0至202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31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 xml:space="preserve"> 17:00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开放期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202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-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jc w:val="center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222222"/>
                <w:spacing w:val="0"/>
                <w:sz w:val="24"/>
                <w:szCs w:val="24"/>
              </w:rPr>
              <w:t>可申购、赎回</w:t>
            </w:r>
          </w:p>
        </w:tc>
      </w:tr>
    </w:tbl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同时，本产品说明书</w:t>
      </w:r>
      <w:r>
        <w:rPr>
          <w:rFonts w:hint="eastAsia" w:ascii="宋体" w:hAnsi="宋体" w:cs="宋体"/>
          <w:kern w:val="0"/>
          <w:sz w:val="24"/>
          <w:szCs w:val="24"/>
        </w:rPr>
        <w:t>于本次开放确认日即202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2</w:t>
      </w:r>
      <w:r>
        <w:rPr>
          <w:rFonts w:hint="eastAsia" w:ascii="宋体" w:hAnsi="宋体" w:cs="宋体"/>
          <w:kern w:val="0"/>
          <w:sz w:val="24"/>
          <w:szCs w:val="24"/>
        </w:rPr>
        <w:t>年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10月26日起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调整以下内容：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增加业绩比较基准测算依据，删除投资模拟情况。</w:t>
      </w:r>
    </w:p>
    <w:p>
      <w:pPr>
        <w:widowControl/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highlight w:val="none"/>
          <w:lang w:val="en-US" w:eastAsia="zh-CN"/>
        </w:rPr>
        <w:t>新增北京农村商业银行股份有限公司、江苏常熟农村商业银行股份有限公司、浙商银行股份有限公司、九江银行股份有限公司四家销售机构。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480" w:firstLineChars="200"/>
        <w:contextualSpacing/>
        <w:jc w:val="left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产品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说明书同步调整。请投资者仔细阅读产品说明书，若您不同意本次变更，请及时于本次开放期内申请赎回。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</w:rPr>
        <w:t>注：本理财计划业绩比较基准由管理人根据投资范围及投资策略，结合市场环境因素进行测算而得出。业绩比较基准是管理人基于理财计划收益风险特征、投资策略、过往经验等因素对理财计划业绩设定的投资目标，不代表理财计划的未来表现和实际收益，也不构成对理财计划收益的承诺。</w:t>
      </w: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cs="宋体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附件：杭银理财幸福99季添益1908期理财计划产品说明书</w:t>
      </w:r>
    </w:p>
    <w:p>
      <w:pPr>
        <w:widowControl/>
        <w:shd w:val="clear" w:color="auto" w:fill="FFFFFF"/>
        <w:spacing w:before="100" w:beforeAutospacing="1" w:after="100" w:afterAutospacing="1" w:line="360" w:lineRule="auto"/>
        <w:ind w:firstLine="540" w:firstLineChars="200"/>
        <w:contextualSpacing/>
        <w:jc w:val="left"/>
        <w:rPr>
          <w:rFonts w:ascii="宋体" w:hAnsi="宋体" w:cs="宋体"/>
          <w:color w:val="333333"/>
          <w:kern w:val="0"/>
          <w:sz w:val="27"/>
          <w:szCs w:val="27"/>
        </w:rPr>
      </w:pPr>
    </w:p>
    <w:p>
      <w:pPr>
        <w:widowControl/>
        <w:spacing w:before="100" w:beforeAutospacing="1" w:after="100" w:afterAutospacing="1" w:line="300" w:lineRule="atLeast"/>
        <w:jc w:val="right"/>
        <w:rPr>
          <w:rFonts w:ascii="微软雅黑" w:hAnsi="微软雅黑" w:cs="宋体"/>
          <w:color w:val="333333"/>
          <w:kern w:val="0"/>
          <w:sz w:val="24"/>
          <w:szCs w:val="24"/>
        </w:rPr>
      </w:pPr>
      <w:r>
        <w:rPr>
          <w:rFonts w:ascii="微软雅黑" w:hAnsi="微软雅黑" w:cs="宋体"/>
          <w:color w:val="333333"/>
          <w:kern w:val="0"/>
          <w:sz w:val="24"/>
          <w:szCs w:val="24"/>
        </w:rPr>
        <w:t>                        </w:t>
      </w:r>
      <w:r>
        <w:rPr>
          <w:rFonts w:hint="eastAsia" w:ascii="微软雅黑" w:hAnsi="微软雅黑" w:cs="宋体"/>
          <w:color w:val="333333"/>
          <w:kern w:val="0"/>
          <w:sz w:val="24"/>
          <w:szCs w:val="24"/>
        </w:rPr>
        <w:t>       杭银理财有限责任公司</w:t>
      </w:r>
    </w:p>
    <w:p>
      <w:pPr>
        <w:widowControl/>
        <w:spacing w:before="100" w:beforeAutospacing="1" w:after="100" w:afterAutospacing="1" w:line="300" w:lineRule="atLeast"/>
        <w:jc w:val="right"/>
        <w:rPr>
          <w:rFonts w:ascii="宋体" w:hAnsi="宋体" w:cs="宋体"/>
          <w:color w:val="333333"/>
          <w:kern w:val="0"/>
          <w:sz w:val="24"/>
          <w:szCs w:val="24"/>
        </w:rPr>
      </w:pPr>
      <w:r>
        <w:rPr>
          <w:rFonts w:hint="eastAsia" w:ascii="宋体" w:hAnsi="宋体" w:cs="宋体"/>
          <w:color w:val="333333"/>
          <w:kern w:val="0"/>
          <w:sz w:val="24"/>
          <w:szCs w:val="24"/>
        </w:rPr>
        <w:t>                         2022年</w:t>
      </w:r>
      <w:r>
        <w:rPr>
          <w:rFonts w:hint="eastAsia" w:ascii="宋体" w:hAnsi="宋体" w:cs="宋体"/>
          <w:color w:val="333333"/>
          <w:kern w:val="0"/>
          <w:sz w:val="24"/>
          <w:szCs w:val="24"/>
          <w:lang w:val="en-US" w:eastAsia="zh-CN"/>
        </w:rPr>
        <w:t>10月10</w:t>
      </w:r>
      <w:r>
        <w:rPr>
          <w:rFonts w:hint="eastAsia" w:ascii="宋体" w:hAnsi="宋体" w:cs="宋体"/>
          <w:color w:val="333333"/>
          <w:kern w:val="0"/>
          <w:sz w:val="24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DCF8C"/>
    <w:multiLevelType w:val="singleLevel"/>
    <w:tmpl w:val="1CADCF8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NotTrackMoves/>
  <w:trackRevisions w:val="1"/>
  <w:documentProtection w:enforcement="0"/>
  <w:defaultTabStop w:val="420"/>
  <w:doNotHyphenateCaps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7350"/>
    <w:rsid w:val="00006CF1"/>
    <w:rsid w:val="000118A6"/>
    <w:rsid w:val="000363B9"/>
    <w:rsid w:val="00043DF7"/>
    <w:rsid w:val="000442DA"/>
    <w:rsid w:val="000558A4"/>
    <w:rsid w:val="00070C49"/>
    <w:rsid w:val="00071EFC"/>
    <w:rsid w:val="00073598"/>
    <w:rsid w:val="00074BE8"/>
    <w:rsid w:val="00076132"/>
    <w:rsid w:val="00092F9F"/>
    <w:rsid w:val="00097CA9"/>
    <w:rsid w:val="000A0AC2"/>
    <w:rsid w:val="000A19D0"/>
    <w:rsid w:val="000B7DE7"/>
    <w:rsid w:val="000C1E50"/>
    <w:rsid w:val="000D0319"/>
    <w:rsid w:val="000D0ADE"/>
    <w:rsid w:val="000E0330"/>
    <w:rsid w:val="000F2BF7"/>
    <w:rsid w:val="00111FCF"/>
    <w:rsid w:val="00113C55"/>
    <w:rsid w:val="00117EFF"/>
    <w:rsid w:val="00133C27"/>
    <w:rsid w:val="00147A59"/>
    <w:rsid w:val="00150BDA"/>
    <w:rsid w:val="00171666"/>
    <w:rsid w:val="00181535"/>
    <w:rsid w:val="00190328"/>
    <w:rsid w:val="001A00AB"/>
    <w:rsid w:val="001A0D3E"/>
    <w:rsid w:val="001A283A"/>
    <w:rsid w:val="001A66ED"/>
    <w:rsid w:val="001A78D6"/>
    <w:rsid w:val="001B0197"/>
    <w:rsid w:val="001B0444"/>
    <w:rsid w:val="001B2EED"/>
    <w:rsid w:val="001B425B"/>
    <w:rsid w:val="001C74AA"/>
    <w:rsid w:val="001D1FF9"/>
    <w:rsid w:val="001D2836"/>
    <w:rsid w:val="001E19CC"/>
    <w:rsid w:val="001F7F88"/>
    <w:rsid w:val="002007DF"/>
    <w:rsid w:val="00201118"/>
    <w:rsid w:val="002050D9"/>
    <w:rsid w:val="0022235F"/>
    <w:rsid w:val="00230819"/>
    <w:rsid w:val="002411FA"/>
    <w:rsid w:val="00243C94"/>
    <w:rsid w:val="00244C6C"/>
    <w:rsid w:val="00250231"/>
    <w:rsid w:val="002522DC"/>
    <w:rsid w:val="002529C2"/>
    <w:rsid w:val="0025477B"/>
    <w:rsid w:val="00270DEB"/>
    <w:rsid w:val="00275D22"/>
    <w:rsid w:val="002845E2"/>
    <w:rsid w:val="00290F7E"/>
    <w:rsid w:val="0029595B"/>
    <w:rsid w:val="002A112B"/>
    <w:rsid w:val="002B5BBB"/>
    <w:rsid w:val="002B712A"/>
    <w:rsid w:val="002B7C2D"/>
    <w:rsid w:val="002C7927"/>
    <w:rsid w:val="002E6903"/>
    <w:rsid w:val="0030149C"/>
    <w:rsid w:val="003109BF"/>
    <w:rsid w:val="00312EF0"/>
    <w:rsid w:val="00327096"/>
    <w:rsid w:val="003341DF"/>
    <w:rsid w:val="003519B0"/>
    <w:rsid w:val="003550B9"/>
    <w:rsid w:val="00366016"/>
    <w:rsid w:val="00371E17"/>
    <w:rsid w:val="00394430"/>
    <w:rsid w:val="0039755F"/>
    <w:rsid w:val="003A0BD7"/>
    <w:rsid w:val="003A3116"/>
    <w:rsid w:val="003A7799"/>
    <w:rsid w:val="003C1FAA"/>
    <w:rsid w:val="003F2A17"/>
    <w:rsid w:val="00401C84"/>
    <w:rsid w:val="0040591F"/>
    <w:rsid w:val="00412D7F"/>
    <w:rsid w:val="00412E0B"/>
    <w:rsid w:val="00421D22"/>
    <w:rsid w:val="00430360"/>
    <w:rsid w:val="004336CF"/>
    <w:rsid w:val="0044499B"/>
    <w:rsid w:val="00455DF0"/>
    <w:rsid w:val="00466E91"/>
    <w:rsid w:val="00471700"/>
    <w:rsid w:val="00481420"/>
    <w:rsid w:val="004861EE"/>
    <w:rsid w:val="00487843"/>
    <w:rsid w:val="00492DBD"/>
    <w:rsid w:val="00494E0F"/>
    <w:rsid w:val="0049530A"/>
    <w:rsid w:val="004A17CA"/>
    <w:rsid w:val="004B715A"/>
    <w:rsid w:val="004C52AA"/>
    <w:rsid w:val="004D6D58"/>
    <w:rsid w:val="004E3625"/>
    <w:rsid w:val="004F1CCE"/>
    <w:rsid w:val="00500254"/>
    <w:rsid w:val="00502E31"/>
    <w:rsid w:val="00510A03"/>
    <w:rsid w:val="0052255C"/>
    <w:rsid w:val="0052500D"/>
    <w:rsid w:val="00536FF0"/>
    <w:rsid w:val="00544A92"/>
    <w:rsid w:val="0056178D"/>
    <w:rsid w:val="00567273"/>
    <w:rsid w:val="00570BAA"/>
    <w:rsid w:val="00580FC7"/>
    <w:rsid w:val="0058214E"/>
    <w:rsid w:val="0058290C"/>
    <w:rsid w:val="005858C5"/>
    <w:rsid w:val="00593AB8"/>
    <w:rsid w:val="005A03DB"/>
    <w:rsid w:val="005A2061"/>
    <w:rsid w:val="005A48EC"/>
    <w:rsid w:val="005A7CDB"/>
    <w:rsid w:val="005B296D"/>
    <w:rsid w:val="005C2D6F"/>
    <w:rsid w:val="005C4CE7"/>
    <w:rsid w:val="005D447A"/>
    <w:rsid w:val="005D5F64"/>
    <w:rsid w:val="005E6905"/>
    <w:rsid w:val="005E6A09"/>
    <w:rsid w:val="005E7F9D"/>
    <w:rsid w:val="005F0C02"/>
    <w:rsid w:val="00602442"/>
    <w:rsid w:val="0060700E"/>
    <w:rsid w:val="006176F1"/>
    <w:rsid w:val="00623379"/>
    <w:rsid w:val="0063196C"/>
    <w:rsid w:val="006512D9"/>
    <w:rsid w:val="00654E01"/>
    <w:rsid w:val="006568C9"/>
    <w:rsid w:val="00674360"/>
    <w:rsid w:val="00676B49"/>
    <w:rsid w:val="006779EE"/>
    <w:rsid w:val="006860A9"/>
    <w:rsid w:val="006A0142"/>
    <w:rsid w:val="006A2B2C"/>
    <w:rsid w:val="006A3CC0"/>
    <w:rsid w:val="006B34F4"/>
    <w:rsid w:val="006C2EA7"/>
    <w:rsid w:val="006E358F"/>
    <w:rsid w:val="006E55E2"/>
    <w:rsid w:val="0071452F"/>
    <w:rsid w:val="007160F8"/>
    <w:rsid w:val="00717350"/>
    <w:rsid w:val="00731B36"/>
    <w:rsid w:val="00737CAF"/>
    <w:rsid w:val="00745F77"/>
    <w:rsid w:val="00765CDE"/>
    <w:rsid w:val="00770C9C"/>
    <w:rsid w:val="007804FF"/>
    <w:rsid w:val="007846AB"/>
    <w:rsid w:val="00784998"/>
    <w:rsid w:val="0079002F"/>
    <w:rsid w:val="007B34B8"/>
    <w:rsid w:val="007C1506"/>
    <w:rsid w:val="007C79B3"/>
    <w:rsid w:val="007D0A1C"/>
    <w:rsid w:val="007D130B"/>
    <w:rsid w:val="007E6071"/>
    <w:rsid w:val="007F0A46"/>
    <w:rsid w:val="007F15B3"/>
    <w:rsid w:val="007F3F91"/>
    <w:rsid w:val="007F7190"/>
    <w:rsid w:val="00802159"/>
    <w:rsid w:val="00821DDC"/>
    <w:rsid w:val="00827A4D"/>
    <w:rsid w:val="008438AE"/>
    <w:rsid w:val="00851845"/>
    <w:rsid w:val="00852DFF"/>
    <w:rsid w:val="00855017"/>
    <w:rsid w:val="00866CFD"/>
    <w:rsid w:val="00867F27"/>
    <w:rsid w:val="00873397"/>
    <w:rsid w:val="008759B8"/>
    <w:rsid w:val="0087685F"/>
    <w:rsid w:val="00895FEB"/>
    <w:rsid w:val="00896045"/>
    <w:rsid w:val="008B2C5F"/>
    <w:rsid w:val="008B759B"/>
    <w:rsid w:val="008C1928"/>
    <w:rsid w:val="008C57A7"/>
    <w:rsid w:val="008D203D"/>
    <w:rsid w:val="008D3FEF"/>
    <w:rsid w:val="008D651A"/>
    <w:rsid w:val="008F00FB"/>
    <w:rsid w:val="008F1872"/>
    <w:rsid w:val="008F69A3"/>
    <w:rsid w:val="00905AAC"/>
    <w:rsid w:val="00907312"/>
    <w:rsid w:val="009263F7"/>
    <w:rsid w:val="00931B3F"/>
    <w:rsid w:val="00943D1B"/>
    <w:rsid w:val="0094532F"/>
    <w:rsid w:val="00961BAF"/>
    <w:rsid w:val="0096708E"/>
    <w:rsid w:val="00967E23"/>
    <w:rsid w:val="009743AB"/>
    <w:rsid w:val="009764A7"/>
    <w:rsid w:val="00976DDB"/>
    <w:rsid w:val="00995ABB"/>
    <w:rsid w:val="009A3327"/>
    <w:rsid w:val="009B1E52"/>
    <w:rsid w:val="009B480A"/>
    <w:rsid w:val="009C1FBA"/>
    <w:rsid w:val="009C25FF"/>
    <w:rsid w:val="009C6403"/>
    <w:rsid w:val="009D0D93"/>
    <w:rsid w:val="009E0662"/>
    <w:rsid w:val="009E0948"/>
    <w:rsid w:val="009E15E9"/>
    <w:rsid w:val="00A17FEA"/>
    <w:rsid w:val="00A32213"/>
    <w:rsid w:val="00A51927"/>
    <w:rsid w:val="00A56235"/>
    <w:rsid w:val="00A56DCA"/>
    <w:rsid w:val="00A56F99"/>
    <w:rsid w:val="00A638A4"/>
    <w:rsid w:val="00A65CDA"/>
    <w:rsid w:val="00A76DD3"/>
    <w:rsid w:val="00A91B76"/>
    <w:rsid w:val="00A922AE"/>
    <w:rsid w:val="00AB1ED2"/>
    <w:rsid w:val="00AB4337"/>
    <w:rsid w:val="00AB5A0E"/>
    <w:rsid w:val="00AC14D5"/>
    <w:rsid w:val="00AC2C10"/>
    <w:rsid w:val="00AC40B8"/>
    <w:rsid w:val="00AD0689"/>
    <w:rsid w:val="00AE0254"/>
    <w:rsid w:val="00AE0A1F"/>
    <w:rsid w:val="00AE5868"/>
    <w:rsid w:val="00AE6A86"/>
    <w:rsid w:val="00AF1B46"/>
    <w:rsid w:val="00B14BCF"/>
    <w:rsid w:val="00B247D6"/>
    <w:rsid w:val="00B25F58"/>
    <w:rsid w:val="00B34A82"/>
    <w:rsid w:val="00B40363"/>
    <w:rsid w:val="00B409A1"/>
    <w:rsid w:val="00B47990"/>
    <w:rsid w:val="00B54545"/>
    <w:rsid w:val="00B6397C"/>
    <w:rsid w:val="00B73378"/>
    <w:rsid w:val="00B73F52"/>
    <w:rsid w:val="00B77BE3"/>
    <w:rsid w:val="00B83906"/>
    <w:rsid w:val="00BA1FBB"/>
    <w:rsid w:val="00BA245B"/>
    <w:rsid w:val="00BA499E"/>
    <w:rsid w:val="00BB4715"/>
    <w:rsid w:val="00BC49E1"/>
    <w:rsid w:val="00BD2BAE"/>
    <w:rsid w:val="00BE6534"/>
    <w:rsid w:val="00BE7A85"/>
    <w:rsid w:val="00BF382A"/>
    <w:rsid w:val="00BF4E5D"/>
    <w:rsid w:val="00C1035A"/>
    <w:rsid w:val="00C13856"/>
    <w:rsid w:val="00C15CB7"/>
    <w:rsid w:val="00C25271"/>
    <w:rsid w:val="00C777B0"/>
    <w:rsid w:val="00C852E5"/>
    <w:rsid w:val="00CB17B3"/>
    <w:rsid w:val="00CB5734"/>
    <w:rsid w:val="00CB6288"/>
    <w:rsid w:val="00CC7B05"/>
    <w:rsid w:val="00CD5809"/>
    <w:rsid w:val="00CE1DD8"/>
    <w:rsid w:val="00CE476B"/>
    <w:rsid w:val="00CF0CD2"/>
    <w:rsid w:val="00D00D28"/>
    <w:rsid w:val="00D02B49"/>
    <w:rsid w:val="00D148F7"/>
    <w:rsid w:val="00D16F99"/>
    <w:rsid w:val="00D1730A"/>
    <w:rsid w:val="00D20EFA"/>
    <w:rsid w:val="00D37846"/>
    <w:rsid w:val="00D43260"/>
    <w:rsid w:val="00D456AE"/>
    <w:rsid w:val="00DA5F21"/>
    <w:rsid w:val="00DA79CA"/>
    <w:rsid w:val="00DC2E83"/>
    <w:rsid w:val="00DE4501"/>
    <w:rsid w:val="00E05A48"/>
    <w:rsid w:val="00E1298F"/>
    <w:rsid w:val="00E224AF"/>
    <w:rsid w:val="00E33636"/>
    <w:rsid w:val="00E33FE4"/>
    <w:rsid w:val="00E64782"/>
    <w:rsid w:val="00E6604F"/>
    <w:rsid w:val="00E66C1C"/>
    <w:rsid w:val="00E72220"/>
    <w:rsid w:val="00E81F52"/>
    <w:rsid w:val="00EB40F8"/>
    <w:rsid w:val="00EC1296"/>
    <w:rsid w:val="00EC51CC"/>
    <w:rsid w:val="00EC710A"/>
    <w:rsid w:val="00EF3498"/>
    <w:rsid w:val="00EF7A48"/>
    <w:rsid w:val="00F015AA"/>
    <w:rsid w:val="00F04A47"/>
    <w:rsid w:val="00F203EE"/>
    <w:rsid w:val="00F2732D"/>
    <w:rsid w:val="00F337A4"/>
    <w:rsid w:val="00F47FB7"/>
    <w:rsid w:val="00F550C1"/>
    <w:rsid w:val="00F63201"/>
    <w:rsid w:val="00F65C91"/>
    <w:rsid w:val="00F73C73"/>
    <w:rsid w:val="00F75885"/>
    <w:rsid w:val="00F77D32"/>
    <w:rsid w:val="00F82C64"/>
    <w:rsid w:val="00F96CF0"/>
    <w:rsid w:val="00FA604F"/>
    <w:rsid w:val="00FA7DB1"/>
    <w:rsid w:val="00FB225D"/>
    <w:rsid w:val="00FB44DD"/>
    <w:rsid w:val="00FD3999"/>
    <w:rsid w:val="00FD7F1B"/>
    <w:rsid w:val="00FE163A"/>
    <w:rsid w:val="00FE75E9"/>
    <w:rsid w:val="00FF64F8"/>
    <w:rsid w:val="01435662"/>
    <w:rsid w:val="01E705E0"/>
    <w:rsid w:val="0215382A"/>
    <w:rsid w:val="02B50176"/>
    <w:rsid w:val="02FC366D"/>
    <w:rsid w:val="0463564D"/>
    <w:rsid w:val="05014B47"/>
    <w:rsid w:val="05277688"/>
    <w:rsid w:val="0664104D"/>
    <w:rsid w:val="066C06A4"/>
    <w:rsid w:val="06BB4280"/>
    <w:rsid w:val="06D035A1"/>
    <w:rsid w:val="06D37B3E"/>
    <w:rsid w:val="07035C9D"/>
    <w:rsid w:val="07132142"/>
    <w:rsid w:val="08234E75"/>
    <w:rsid w:val="08454B3A"/>
    <w:rsid w:val="09124A97"/>
    <w:rsid w:val="09890050"/>
    <w:rsid w:val="0A214E04"/>
    <w:rsid w:val="0A4053E4"/>
    <w:rsid w:val="0AEA2D78"/>
    <w:rsid w:val="0C1E2ABE"/>
    <w:rsid w:val="0C783950"/>
    <w:rsid w:val="0D954443"/>
    <w:rsid w:val="0D987F0C"/>
    <w:rsid w:val="0DE97B8F"/>
    <w:rsid w:val="0E0A45ED"/>
    <w:rsid w:val="0E2B7C7D"/>
    <w:rsid w:val="0EB97F4C"/>
    <w:rsid w:val="0EE37BC9"/>
    <w:rsid w:val="0EF85599"/>
    <w:rsid w:val="106F5A14"/>
    <w:rsid w:val="11230095"/>
    <w:rsid w:val="11991D3A"/>
    <w:rsid w:val="122971FB"/>
    <w:rsid w:val="12CC3191"/>
    <w:rsid w:val="13C56A21"/>
    <w:rsid w:val="13E56CE4"/>
    <w:rsid w:val="142646E6"/>
    <w:rsid w:val="14384F22"/>
    <w:rsid w:val="152D18D0"/>
    <w:rsid w:val="158C1AB1"/>
    <w:rsid w:val="16302B65"/>
    <w:rsid w:val="163C0984"/>
    <w:rsid w:val="164A4357"/>
    <w:rsid w:val="16FB49C3"/>
    <w:rsid w:val="17291A16"/>
    <w:rsid w:val="17F01830"/>
    <w:rsid w:val="18607A8E"/>
    <w:rsid w:val="18FB0419"/>
    <w:rsid w:val="194744A9"/>
    <w:rsid w:val="194C4919"/>
    <w:rsid w:val="1AEE5A06"/>
    <w:rsid w:val="1B4125B0"/>
    <w:rsid w:val="1BF76AB0"/>
    <w:rsid w:val="1E3E1E68"/>
    <w:rsid w:val="1E955861"/>
    <w:rsid w:val="1E966E46"/>
    <w:rsid w:val="1EAE3351"/>
    <w:rsid w:val="1ED7584A"/>
    <w:rsid w:val="2019384C"/>
    <w:rsid w:val="20C47CFC"/>
    <w:rsid w:val="241C0487"/>
    <w:rsid w:val="246B3A22"/>
    <w:rsid w:val="25E953E4"/>
    <w:rsid w:val="26DF0DE3"/>
    <w:rsid w:val="26E1773E"/>
    <w:rsid w:val="26F171A7"/>
    <w:rsid w:val="272E13E1"/>
    <w:rsid w:val="27F21138"/>
    <w:rsid w:val="281D6053"/>
    <w:rsid w:val="29786CA6"/>
    <w:rsid w:val="29874758"/>
    <w:rsid w:val="29ED6333"/>
    <w:rsid w:val="2AA84830"/>
    <w:rsid w:val="2AD211CF"/>
    <w:rsid w:val="2AE9025B"/>
    <w:rsid w:val="2AF16F7B"/>
    <w:rsid w:val="2AF66FB8"/>
    <w:rsid w:val="2B35650D"/>
    <w:rsid w:val="2B6D5158"/>
    <w:rsid w:val="2B8B6F95"/>
    <w:rsid w:val="2BF14DA1"/>
    <w:rsid w:val="2C1B6F5F"/>
    <w:rsid w:val="2C3B6D48"/>
    <w:rsid w:val="2CB03749"/>
    <w:rsid w:val="2E4E22FF"/>
    <w:rsid w:val="30672199"/>
    <w:rsid w:val="317A6919"/>
    <w:rsid w:val="318744CB"/>
    <w:rsid w:val="323A7404"/>
    <w:rsid w:val="353F5F49"/>
    <w:rsid w:val="358157AF"/>
    <w:rsid w:val="374062F1"/>
    <w:rsid w:val="37E370B1"/>
    <w:rsid w:val="38091424"/>
    <w:rsid w:val="3851103B"/>
    <w:rsid w:val="398247B4"/>
    <w:rsid w:val="39D2644A"/>
    <w:rsid w:val="3A087C22"/>
    <w:rsid w:val="3A183647"/>
    <w:rsid w:val="3ADF572B"/>
    <w:rsid w:val="3AED3498"/>
    <w:rsid w:val="3C143441"/>
    <w:rsid w:val="3C727621"/>
    <w:rsid w:val="3D416B70"/>
    <w:rsid w:val="3D4944B5"/>
    <w:rsid w:val="3D8444A0"/>
    <w:rsid w:val="3E035EED"/>
    <w:rsid w:val="3E0D01F1"/>
    <w:rsid w:val="3ED929CC"/>
    <w:rsid w:val="3F2B3F6A"/>
    <w:rsid w:val="3F6722C6"/>
    <w:rsid w:val="3F804772"/>
    <w:rsid w:val="3F9E4215"/>
    <w:rsid w:val="429976EC"/>
    <w:rsid w:val="435739C7"/>
    <w:rsid w:val="43A015B2"/>
    <w:rsid w:val="43C825ED"/>
    <w:rsid w:val="44410B19"/>
    <w:rsid w:val="44445B3D"/>
    <w:rsid w:val="444E3A4F"/>
    <w:rsid w:val="4566299F"/>
    <w:rsid w:val="46BC3AC9"/>
    <w:rsid w:val="46E4788B"/>
    <w:rsid w:val="47413F4E"/>
    <w:rsid w:val="48876363"/>
    <w:rsid w:val="48A070B5"/>
    <w:rsid w:val="493F78D0"/>
    <w:rsid w:val="4AD56426"/>
    <w:rsid w:val="4AF51449"/>
    <w:rsid w:val="4C286F17"/>
    <w:rsid w:val="4CF33869"/>
    <w:rsid w:val="4D1214F1"/>
    <w:rsid w:val="4EB91F73"/>
    <w:rsid w:val="4F2009C9"/>
    <w:rsid w:val="4FBE33CC"/>
    <w:rsid w:val="4FF91C6F"/>
    <w:rsid w:val="50375E6A"/>
    <w:rsid w:val="50CC2D64"/>
    <w:rsid w:val="51892A85"/>
    <w:rsid w:val="52773110"/>
    <w:rsid w:val="532A2675"/>
    <w:rsid w:val="53FC125B"/>
    <w:rsid w:val="54F95C81"/>
    <w:rsid w:val="5601560A"/>
    <w:rsid w:val="57BD4654"/>
    <w:rsid w:val="58487A15"/>
    <w:rsid w:val="5A0C4B68"/>
    <w:rsid w:val="5A571FC6"/>
    <w:rsid w:val="5BE20C5B"/>
    <w:rsid w:val="5BF76807"/>
    <w:rsid w:val="5C2D7F2D"/>
    <w:rsid w:val="5D3749FF"/>
    <w:rsid w:val="5DA8077A"/>
    <w:rsid w:val="5E287511"/>
    <w:rsid w:val="5F0F41EC"/>
    <w:rsid w:val="5F274757"/>
    <w:rsid w:val="6010347F"/>
    <w:rsid w:val="60135CDE"/>
    <w:rsid w:val="64D25CA7"/>
    <w:rsid w:val="661241EE"/>
    <w:rsid w:val="66923759"/>
    <w:rsid w:val="67EF046E"/>
    <w:rsid w:val="68CA3B4B"/>
    <w:rsid w:val="69B43527"/>
    <w:rsid w:val="6ACE05BE"/>
    <w:rsid w:val="6AED2FEC"/>
    <w:rsid w:val="6D606902"/>
    <w:rsid w:val="6DBB0EC9"/>
    <w:rsid w:val="6DC30C8D"/>
    <w:rsid w:val="6EF64FA0"/>
    <w:rsid w:val="702244F2"/>
    <w:rsid w:val="70396A08"/>
    <w:rsid w:val="7061599B"/>
    <w:rsid w:val="70F305BD"/>
    <w:rsid w:val="7123064B"/>
    <w:rsid w:val="713F1691"/>
    <w:rsid w:val="718E09C8"/>
    <w:rsid w:val="723E5FD2"/>
    <w:rsid w:val="72442E7D"/>
    <w:rsid w:val="73334F87"/>
    <w:rsid w:val="73A00017"/>
    <w:rsid w:val="7437701C"/>
    <w:rsid w:val="74791B8A"/>
    <w:rsid w:val="75B41E64"/>
    <w:rsid w:val="76576AAA"/>
    <w:rsid w:val="770959F7"/>
    <w:rsid w:val="773D4489"/>
    <w:rsid w:val="774C66BC"/>
    <w:rsid w:val="778727A5"/>
    <w:rsid w:val="77A562E8"/>
    <w:rsid w:val="78252BFB"/>
    <w:rsid w:val="78FE1A9E"/>
    <w:rsid w:val="79512391"/>
    <w:rsid w:val="7A2A7660"/>
    <w:rsid w:val="7B335E05"/>
    <w:rsid w:val="7B7D4418"/>
    <w:rsid w:val="7D2406D4"/>
    <w:rsid w:val="7D5A65F3"/>
    <w:rsid w:val="7E394898"/>
    <w:rsid w:val="7E757067"/>
    <w:rsid w:val="7E902986"/>
    <w:rsid w:val="7F48645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nhideWhenUsed="0" w:uiPriority="99" w:semiHidden="0" w:name="heading 2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name="header"/>
    <w:lsdException w:qFormat="1" w:unhideWhenUsed="0" w:uiPriority="99" w:name="footer"/>
    <w:lsdException w:unhideWhenUsed="0" w:uiPriority="0" w:semiHidden="0" w:name="index heading"/>
    <w:lsdException w:qFormat="1" w:uiPriority="35" w:name="caption" w:locked="1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 w:locked="1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 w:locked="1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 w:locked="1"/>
    <w:lsdException w:qFormat="1" w:unhideWhenUsed="0" w:uiPriority="20" w:semiHidden="0" w:name="Emphasis" w:locked="1"/>
    <w:lsdException w:qFormat="1"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nhideWhenUsed="0" w:uiPriority="0" w:semiHidden="0" w:name="Balloon Text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link w:val="10"/>
    <w:qFormat/>
    <w:uiPriority w:val="9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ocument Map"/>
    <w:basedOn w:val="1"/>
    <w:link w:val="14"/>
    <w:qFormat/>
    <w:uiPriority w:val="0"/>
    <w:rPr>
      <w:rFonts w:ascii="宋体"/>
      <w:sz w:val="18"/>
      <w:szCs w:val="18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footer"/>
    <w:basedOn w:val="1"/>
    <w:link w:val="11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0">
    <w:name w:val="标题 2 Char"/>
    <w:basedOn w:val="9"/>
    <w:link w:val="2"/>
    <w:qFormat/>
    <w:locked/>
    <w:uiPriority w:val="9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1">
    <w:name w:val="页脚 Char"/>
    <w:basedOn w:val="9"/>
    <w:link w:val="5"/>
    <w:semiHidden/>
    <w:qFormat/>
    <w:locked/>
    <w:uiPriority w:val="99"/>
    <w:rPr>
      <w:sz w:val="18"/>
      <w:szCs w:val="18"/>
    </w:rPr>
  </w:style>
  <w:style w:type="character" w:customStyle="1" w:styleId="12">
    <w:name w:val="页眉 Char"/>
    <w:basedOn w:val="9"/>
    <w:link w:val="6"/>
    <w:semiHidden/>
    <w:qFormat/>
    <w:locked/>
    <w:uiPriority w:val="99"/>
    <w:rPr>
      <w:sz w:val="18"/>
      <w:szCs w:val="18"/>
    </w:rPr>
  </w:style>
  <w:style w:type="character" w:customStyle="1" w:styleId="13">
    <w:name w:val="apple-converted-space"/>
    <w:basedOn w:val="9"/>
    <w:qFormat/>
    <w:uiPriority w:val="99"/>
  </w:style>
  <w:style w:type="character" w:customStyle="1" w:styleId="14">
    <w:name w:val="文档结构图 Char"/>
    <w:basedOn w:val="9"/>
    <w:link w:val="3"/>
    <w:qFormat/>
    <w:uiPriority w:val="0"/>
    <w:rPr>
      <w:rFonts w:ascii="宋体"/>
      <w:kern w:val="2"/>
      <w:sz w:val="18"/>
      <w:szCs w:val="18"/>
    </w:rPr>
  </w:style>
  <w:style w:type="character" w:customStyle="1" w:styleId="15">
    <w:name w:val="font41"/>
    <w:basedOn w:val="9"/>
    <w:qFormat/>
    <w:uiPriority w:val="0"/>
    <w:rPr>
      <w:rFonts w:hint="default" w:ascii="Arial" w:hAnsi="Arial" w:cs="Arial"/>
      <w:color w:val="000000"/>
      <w:sz w:val="20"/>
      <w:szCs w:val="20"/>
      <w:u w:val="none"/>
    </w:rPr>
  </w:style>
  <w:style w:type="character" w:customStyle="1" w:styleId="16">
    <w:name w:val="font31"/>
    <w:basedOn w:val="9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17">
    <w:name w:val="font51"/>
    <w:basedOn w:val="9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  <w:style w:type="character" w:customStyle="1" w:styleId="18">
    <w:name w:val="font11"/>
    <w:basedOn w:val="9"/>
    <w:qFormat/>
    <w:uiPriority w:val="0"/>
    <w:rPr>
      <w:rFonts w:hint="eastAsia" w:ascii="宋体" w:hAnsi="宋体" w:eastAsia="宋体"/>
      <w:b/>
      <w:b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hzbank</Company>
  <Pages>1</Pages>
  <Words>90</Words>
  <Characters>517</Characters>
  <Lines>4</Lines>
  <Paragraphs>1</Paragraphs>
  <TotalTime>38</TotalTime>
  <ScaleCrop>false</ScaleCrop>
  <LinksUpToDate>false</LinksUpToDate>
  <CharactersWithSpaces>606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2018-08-22T08:42:00Z</dcterms:created>
  <dc:creator>hccb</dc:creator>
  <cp:lastModifiedBy>朱婧</cp:lastModifiedBy>
  <cp:lastPrinted>2022-08-05T09:49:00Z</cp:lastPrinted>
  <dcterms:modified xsi:type="dcterms:W3CDTF">2022-10-11T01:11:30Z</dcterms:modified>
  <dc:title>“幸福99”丰裕盈家月添益银行理财管理计划（FY1M1801）业绩比较基准公告（2018年11月27日）</dc:title>
  <cp:revision>420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