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sz w:val="24"/>
        </w:rPr>
      </w:pPr>
      <w:r>
        <w:rPr>
          <w:rFonts w:hint="eastAsia" w:ascii="仿宋" w:hAnsi="仿宋" w:eastAsia="仿宋" w:cs="仿宋"/>
          <w:b/>
          <w:sz w:val="28"/>
          <w:szCs w:val="28"/>
        </w:rPr>
        <w:t>杭银理财丰裕固收21029期理财计划C款</w:t>
      </w:r>
      <w:r>
        <w:rPr>
          <w:rFonts w:hint="eastAsia" w:ascii="仿宋" w:hAnsi="仿宋" w:eastAsia="仿宋" w:cs="仿宋"/>
          <w:b/>
          <w:sz w:val="28"/>
        </w:rPr>
        <w:t>产品到期兑付公告</w:t>
      </w:r>
    </w:p>
    <w:p>
      <w:pPr>
        <w:rPr>
          <w:rFonts w:hint="eastAsia" w:ascii="仿宋" w:hAnsi="仿宋" w:eastAsia="仿宋" w:cs="仿宋"/>
          <w:sz w:val="24"/>
        </w:rPr>
      </w:pPr>
      <w:r>
        <w:rPr>
          <w:rFonts w:hint="eastAsia" w:ascii="仿宋" w:hAnsi="仿宋" w:eastAsia="仿宋" w:cs="仿宋"/>
          <w:sz w:val="24"/>
        </w:rPr>
        <w:t>尊敬的投资者：</w:t>
      </w:r>
    </w:p>
    <w:p>
      <w:pPr>
        <w:ind w:firstLine="480"/>
        <w:rPr>
          <w:rFonts w:hint="eastAsia" w:ascii="仿宋" w:hAnsi="仿宋" w:eastAsia="仿宋" w:cs="仿宋"/>
          <w:sz w:val="24"/>
        </w:rPr>
      </w:pPr>
      <w:r>
        <w:rPr>
          <w:rFonts w:hint="eastAsia" w:ascii="仿宋" w:hAnsi="仿宋" w:eastAsia="仿宋" w:cs="仿宋"/>
          <w:sz w:val="24"/>
        </w:rPr>
        <w:t>杭银理财丰裕固收21029期理财计划C款</w:t>
      </w:r>
      <w:r>
        <w:rPr>
          <w:rFonts w:hint="eastAsia" w:ascii="仿宋" w:hAnsi="仿宋" w:eastAsia="仿宋" w:cs="仿宋"/>
          <w:sz w:val="24"/>
        </w:rPr>
        <w:t>产品已于2022年11月15日到期终止，现将相关信息公告如下：</w:t>
      </w:r>
    </w:p>
    <w:tbl>
      <w:tblPr>
        <w:tblStyle w:val="8"/>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产品名称</w:t>
            </w:r>
          </w:p>
        </w:tc>
        <w:tc>
          <w:tcPr>
            <w:tcW w:w="4582" w:type="dxa"/>
          </w:tcPr>
          <w:p>
            <w:pPr>
              <w:rPr>
                <w:rFonts w:hint="eastAsia" w:ascii="仿宋" w:hAnsi="仿宋" w:eastAsia="仿宋" w:cs="仿宋"/>
                <w:sz w:val="24"/>
              </w:rPr>
            </w:pPr>
            <w:r>
              <w:rPr>
                <w:rFonts w:hint="eastAsia" w:ascii="仿宋" w:hAnsi="仿宋" w:eastAsia="仿宋" w:cs="仿宋"/>
                <w:sz w:val="24"/>
              </w:rPr>
              <w:t>杭银理财丰裕固收21029期理财计划C款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理财产品代码</w:t>
            </w:r>
          </w:p>
        </w:tc>
        <w:tc>
          <w:tcPr>
            <w:tcW w:w="4582" w:type="dxa"/>
          </w:tcPr>
          <w:p>
            <w:pPr>
              <w:rPr>
                <w:rFonts w:hint="eastAsia" w:ascii="仿宋" w:hAnsi="仿宋" w:eastAsia="仿宋" w:cs="仿宋"/>
                <w:sz w:val="24"/>
              </w:rPr>
            </w:pPr>
            <w:r>
              <w:rPr>
                <w:rFonts w:hint="eastAsia" w:ascii="仿宋" w:hAnsi="仿宋" w:eastAsia="仿宋" w:cs="仿宋"/>
                <w:sz w:val="24"/>
              </w:rPr>
              <w:t>FYG21029C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产品登记编码</w:t>
            </w:r>
          </w:p>
        </w:tc>
        <w:tc>
          <w:tcPr>
            <w:tcW w:w="4582" w:type="dxa"/>
          </w:tcPr>
          <w:p>
            <w:pPr>
              <w:rPr>
                <w:rFonts w:hint="eastAsia" w:ascii="仿宋" w:hAnsi="仿宋" w:eastAsia="仿宋" w:cs="仿宋"/>
                <w:sz w:val="24"/>
              </w:rPr>
            </w:pPr>
            <w:r>
              <w:rPr>
                <w:rFonts w:hint="eastAsia" w:ascii="仿宋" w:hAnsi="仿宋" w:eastAsia="仿宋" w:cs="仿宋"/>
                <w:sz w:val="24"/>
              </w:rPr>
              <w:t>Z7002221000223</w:t>
            </w:r>
            <w:r>
              <w:rPr>
                <w:rFonts w:hint="eastAsia" w:ascii="仿宋" w:hAnsi="仿宋" w:eastAsia="仿宋" w:cs="仿宋"/>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产品起始日期</w:t>
            </w:r>
          </w:p>
        </w:tc>
        <w:tc>
          <w:tcPr>
            <w:tcW w:w="4582" w:type="dxa"/>
          </w:tcPr>
          <w:p>
            <w:pPr>
              <w:rPr>
                <w:rFonts w:hint="eastAsia" w:ascii="仿宋" w:hAnsi="仿宋" w:eastAsia="仿宋" w:cs="仿宋"/>
                <w:sz w:val="24"/>
              </w:rPr>
            </w:pPr>
            <w:r>
              <w:rPr>
                <w:rFonts w:hint="eastAsia" w:ascii="仿宋" w:hAnsi="仿宋" w:eastAsia="仿宋" w:cs="仿宋"/>
                <w:sz w:val="24"/>
              </w:rPr>
              <w:t>2021-11-09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产品终止日期</w:t>
            </w:r>
          </w:p>
        </w:tc>
        <w:tc>
          <w:tcPr>
            <w:tcW w:w="4582" w:type="dxa"/>
          </w:tcPr>
          <w:p>
            <w:pPr>
              <w:rPr>
                <w:rFonts w:hint="eastAsia" w:ascii="仿宋" w:hAnsi="仿宋" w:eastAsia="仿宋" w:cs="仿宋"/>
                <w:sz w:val="24"/>
              </w:rPr>
            </w:pPr>
            <w:r>
              <w:rPr>
                <w:rFonts w:hint="eastAsia" w:ascii="仿宋" w:hAnsi="仿宋" w:eastAsia="仿宋" w:cs="仿宋"/>
                <w:sz w:val="24"/>
              </w:rPr>
              <w:t>2022-11-15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rPr>
            </w:pPr>
            <w:r>
              <w:rPr>
                <w:rFonts w:hint="eastAsia" w:ascii="仿宋" w:hAnsi="仿宋" w:eastAsia="仿宋" w:cs="仿宋"/>
                <w:sz w:val="24"/>
              </w:rPr>
              <w:t>产品存续天数</w:t>
            </w:r>
          </w:p>
        </w:tc>
        <w:tc>
          <w:tcPr>
            <w:tcW w:w="4582" w:type="dxa"/>
          </w:tcPr>
          <w:p>
            <w:pPr>
              <w:rPr>
                <w:rFonts w:hint="eastAsia" w:ascii="仿宋" w:hAnsi="仿宋" w:eastAsia="仿宋" w:cs="仿宋"/>
                <w:sz w:val="24"/>
              </w:rPr>
            </w:pPr>
            <w:r>
              <w:rPr>
                <w:rFonts w:hint="eastAsia" w:ascii="仿宋" w:hAnsi="仿宋" w:eastAsia="仿宋" w:cs="仿宋"/>
                <w:sz w:val="24"/>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产品到期兑付净值</w:t>
            </w:r>
          </w:p>
        </w:tc>
        <w:tc>
          <w:tcPr>
            <w:tcW w:w="4582" w:type="dxa"/>
          </w:tcPr>
          <w:p>
            <w:pPr>
              <w:rPr>
                <w:rFonts w:hint="eastAsia" w:ascii="仿宋" w:hAnsi="仿宋" w:eastAsia="仿宋" w:cs="仿宋"/>
                <w:sz w:val="24"/>
              </w:rPr>
            </w:pPr>
            <w:r>
              <w:rPr>
                <w:rFonts w:hint="eastAsia" w:ascii="仿宋" w:hAnsi="仿宋" w:eastAsia="仿宋" w:cs="仿宋"/>
                <w:sz w:val="24"/>
              </w:rPr>
              <w:t>1.0436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业绩比较基准</w:t>
            </w:r>
          </w:p>
        </w:tc>
        <w:tc>
          <w:tcPr>
            <w:tcW w:w="4582" w:type="dxa"/>
          </w:tcPr>
          <w:p>
            <w:pPr>
              <w:rPr>
                <w:rFonts w:hint="eastAsia" w:ascii="仿宋" w:hAnsi="仿宋" w:eastAsia="仿宋" w:cs="仿宋"/>
                <w:sz w:val="24"/>
              </w:rPr>
            </w:pPr>
            <w:r>
              <w:rPr>
                <w:rFonts w:hint="eastAsia" w:ascii="仿宋" w:hAnsi="仿宋" w:eastAsia="仿宋" w:cs="仿宋"/>
                <w:sz w:val="24"/>
              </w:rPr>
              <w:t>4.16%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折合年化收益率</w:t>
            </w:r>
          </w:p>
        </w:tc>
        <w:tc>
          <w:tcPr>
            <w:tcW w:w="4582" w:type="dxa"/>
          </w:tcPr>
          <w:p>
            <w:pPr>
              <w:rPr>
                <w:rFonts w:hint="eastAsia" w:ascii="仿宋" w:hAnsi="仿宋" w:eastAsia="仿宋" w:cs="仿宋"/>
                <w:sz w:val="24"/>
              </w:rPr>
            </w:pPr>
            <w:r>
              <w:rPr>
                <w:rFonts w:hint="eastAsia" w:ascii="仿宋" w:hAnsi="仿宋" w:eastAsia="仿宋" w:cs="仿宋"/>
                <w:sz w:val="24"/>
              </w:rPr>
              <w:t>4.2894</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固定管理费</w:t>
            </w:r>
          </w:p>
        </w:tc>
        <w:tc>
          <w:tcPr>
            <w:tcW w:w="4582" w:type="dxa"/>
          </w:tcPr>
          <w:p>
            <w:pPr>
              <w:rPr>
                <w:rFonts w:hint="eastAsia" w:ascii="仿宋" w:hAnsi="仿宋" w:eastAsia="仿宋" w:cs="仿宋"/>
                <w:sz w:val="24"/>
              </w:rPr>
            </w:pPr>
            <w:r>
              <w:rPr>
                <w:rFonts w:hint="eastAsia" w:ascii="仿宋" w:hAnsi="仿宋" w:eastAsia="仿宋" w:cs="仿宋"/>
                <w:sz w:val="24"/>
              </w:rPr>
              <w:t>0.19</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销售服务费</w:t>
            </w:r>
          </w:p>
        </w:tc>
        <w:tc>
          <w:tcPr>
            <w:tcW w:w="4582" w:type="dxa"/>
          </w:tcPr>
          <w:p>
            <w:pPr>
              <w:rPr>
                <w:rFonts w:hint="eastAsia" w:ascii="仿宋" w:hAnsi="仿宋" w:eastAsia="仿宋" w:cs="仿宋"/>
                <w:sz w:val="24"/>
              </w:rPr>
            </w:pPr>
            <w:r>
              <w:rPr>
                <w:rFonts w:hint="eastAsia" w:ascii="仿宋" w:hAnsi="仿宋" w:eastAsia="仿宋" w:cs="仿宋"/>
                <w:sz w:val="24"/>
              </w:rPr>
              <w:t>0.20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浮动管理费</w:t>
            </w:r>
          </w:p>
        </w:tc>
        <w:tc>
          <w:tcPr>
            <w:tcW w:w="4582" w:type="dxa"/>
          </w:tcPr>
          <w:p>
            <w:pPr>
              <w:rPr>
                <w:rFonts w:hint="eastAsia" w:ascii="仿宋" w:hAnsi="仿宋" w:eastAsia="仿宋" w:cs="仿宋"/>
                <w:sz w:val="24"/>
              </w:rPr>
            </w:pPr>
            <w:r>
              <w:rPr>
                <w:rFonts w:hint="eastAsia" w:ascii="仿宋" w:hAnsi="仿宋" w:eastAsia="仿宋" w:cs="仿宋"/>
                <w:sz w:val="24"/>
              </w:rPr>
              <w:t>80.00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托管费</w:t>
            </w:r>
          </w:p>
        </w:tc>
        <w:tc>
          <w:tcPr>
            <w:tcW w:w="4582" w:type="dxa"/>
          </w:tcPr>
          <w:p>
            <w:pPr>
              <w:rPr>
                <w:rFonts w:hint="eastAsia" w:ascii="仿宋" w:hAnsi="仿宋" w:eastAsia="仿宋" w:cs="仿宋"/>
                <w:sz w:val="24"/>
              </w:rPr>
            </w:pPr>
            <w:r>
              <w:rPr>
                <w:rFonts w:hint="eastAsia" w:ascii="仿宋" w:hAnsi="仿宋" w:eastAsia="仿宋" w:cs="仿宋"/>
                <w:sz w:val="24"/>
              </w:rPr>
              <w:t>0.025</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其他费用</w:t>
            </w:r>
          </w:p>
        </w:tc>
        <w:tc>
          <w:tcPr>
            <w:tcW w:w="4582" w:type="dxa"/>
          </w:tcPr>
          <w:p>
            <w:pPr>
              <w:rPr>
                <w:rFonts w:hint="eastAsia" w:ascii="仿宋" w:hAnsi="仿宋" w:eastAsia="仿宋" w:cs="仿宋"/>
                <w:sz w:val="24"/>
              </w:rPr>
            </w:pPr>
            <w:r>
              <w:rPr>
                <w:rFonts w:hint="eastAsia" w:ascii="仿宋" w:hAnsi="仿宋" w:eastAsia="仿宋" w:cs="仿宋"/>
                <w:sz w:val="24"/>
              </w:rPr>
              <w:t>0.00</w:t>
            </w:r>
            <w:r>
              <w:rPr>
                <w:rFonts w:hint="eastAsia" w:ascii="仿宋" w:hAnsi="仿宋" w:eastAsia="仿宋" w:cs="仿宋"/>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tcPr>
          <w:p>
            <w:pPr>
              <w:rPr>
                <w:rFonts w:hint="eastAsia" w:ascii="仿宋" w:hAnsi="仿宋" w:eastAsia="仿宋" w:cs="仿宋"/>
                <w:sz w:val="24"/>
                <w:szCs w:val="22"/>
              </w:rPr>
            </w:pPr>
            <w:r>
              <w:rPr>
                <w:rFonts w:hint="eastAsia" w:ascii="仿宋" w:hAnsi="仿宋" w:eastAsia="仿宋" w:cs="仿宋"/>
                <w:sz w:val="24"/>
                <w:szCs w:val="22"/>
              </w:rPr>
              <w:t>收益分配情况（单位：万元）</w:t>
            </w:r>
          </w:p>
        </w:tc>
        <w:tc>
          <w:tcPr>
            <w:tcW w:w="4582" w:type="dxa"/>
          </w:tcPr>
          <w:p>
            <w:pPr>
              <w:rPr>
                <w:rFonts w:hint="eastAsia" w:ascii="仿宋" w:hAnsi="仿宋" w:eastAsia="仿宋" w:cs="仿宋"/>
                <w:sz w:val="24"/>
              </w:rPr>
            </w:pPr>
            <w:r>
              <w:rPr>
                <w:rFonts w:hint="eastAsia" w:ascii="仿宋" w:hAnsi="仿宋" w:eastAsia="仿宋" w:cs="仿宋"/>
                <w:sz w:val="24"/>
              </w:rPr>
              <w:t>405.20</w:t>
            </w:r>
          </w:p>
        </w:tc>
      </w:tr>
    </w:tbl>
    <w:p>
      <w:pPr>
        <w:rPr>
          <w:rFonts w:hint="eastAsia" w:ascii="仿宋" w:hAnsi="仿宋" w:eastAsia="仿宋" w:cs="仿宋"/>
          <w:sz w:val="24"/>
          <w:szCs w:val="22"/>
        </w:rPr>
      </w:pPr>
      <w:r>
        <w:rPr>
          <w:rFonts w:hint="eastAsia" w:ascii="仿宋" w:hAnsi="仿宋" w:eastAsia="仿宋" w:cs="仿宋"/>
          <w:sz w:val="24"/>
          <w:szCs w:val="22"/>
        </w:rPr>
        <w:t xml:space="preserve">特此公告。  </w:t>
      </w:r>
    </w:p>
    <w:p>
      <w:pPr>
        <w:rPr>
          <w:rFonts w:hint="eastAsia" w:ascii="仿宋" w:hAnsi="仿宋" w:eastAsia="仿宋" w:cs="仿宋"/>
          <w:sz w:val="24"/>
        </w:rPr>
      </w:pPr>
    </w:p>
    <w:p>
      <w:pPr>
        <w:rPr>
          <w:rFonts w:hint="eastAsia" w:ascii="仿宋" w:hAnsi="仿宋" w:eastAsia="仿宋" w:cs="仿宋"/>
          <w:sz w:val="24"/>
        </w:rPr>
      </w:pPr>
      <w:r>
        <w:rPr>
          <w:rFonts w:hint="eastAsia" w:ascii="仿宋" w:hAnsi="仿宋" w:eastAsia="仿宋" w:cs="仿宋"/>
          <w:sz w:val="24"/>
        </w:rPr>
        <w:t>注：</w:t>
      </w:r>
    </w:p>
    <w:p>
      <w:pPr>
        <w:numPr>
          <w:ilvl w:val="0"/>
          <w:numId w:val="1"/>
        </w:numPr>
        <w:rPr>
          <w:rFonts w:hint="eastAsia" w:ascii="仿宋" w:hAnsi="仿宋" w:eastAsia="仿宋" w:cs="仿宋"/>
          <w:sz w:val="24"/>
        </w:rPr>
      </w:pPr>
      <w:r>
        <w:rPr>
          <w:rFonts w:hint="eastAsia" w:ascii="仿宋" w:hAnsi="仿宋" w:eastAsia="仿宋" w:cs="仿宋"/>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仿宋" w:hAnsi="仿宋" w:eastAsia="仿宋" w:cs="仿宋"/>
          <w:sz w:val="24"/>
        </w:rPr>
      </w:pPr>
      <w:r>
        <w:rPr>
          <w:rFonts w:hint="eastAsia" w:ascii="仿宋" w:hAnsi="仿宋" w:eastAsia="仿宋" w:cs="仿宋"/>
          <w:sz w:val="24"/>
        </w:rPr>
        <w:t>托管费：</w:t>
      </w:r>
      <w:r>
        <w:rPr>
          <w:rFonts w:hint="eastAsia" w:ascii="仿宋" w:hAnsi="仿宋" w:eastAsia="仿宋" w:cs="仿宋"/>
          <w:sz w:val="24"/>
        </w:rPr>
        <w:t>原则上按日计提，逐日累计</w:t>
      </w:r>
      <w:r>
        <w:rPr>
          <w:rFonts w:hint="eastAsia" w:ascii="仿宋" w:hAnsi="仿宋" w:eastAsia="仿宋" w:cs="仿宋"/>
          <w:sz w:val="24"/>
          <w:lang w:val="en-US" w:eastAsia="zh-CN"/>
        </w:rPr>
        <w:t>至到期日</w:t>
      </w:r>
      <w:r>
        <w:rPr>
          <w:rFonts w:hint="eastAsia" w:ascii="仿宋" w:hAnsi="仿宋" w:eastAsia="仿宋" w:cs="仿宋"/>
          <w:sz w:val="24"/>
        </w:rPr>
        <w:t>从理财计划财产中扣除。</w:t>
      </w:r>
      <w:r>
        <w:rPr>
          <w:rFonts w:hint="eastAsia" w:ascii="仿宋" w:hAnsi="仿宋" w:eastAsia="仿宋" w:cs="仿宋"/>
          <w:sz w:val="24"/>
        </w:rPr>
        <w:t xml:space="preserve"> </w:t>
      </w:r>
    </w:p>
    <w:p>
      <w:pPr>
        <w:numPr>
          <w:ilvl w:val="0"/>
          <w:numId w:val="1"/>
        </w:numPr>
        <w:rPr>
          <w:rFonts w:hint="eastAsia" w:ascii="仿宋" w:hAnsi="仿宋" w:eastAsia="仿宋" w:cs="仿宋"/>
          <w:sz w:val="24"/>
        </w:rPr>
      </w:pPr>
      <w:r>
        <w:rPr>
          <w:rFonts w:hint="eastAsia" w:ascii="仿宋" w:hAnsi="仿宋" w:eastAsia="仿宋" w:cs="仿宋"/>
          <w:sz w:val="24"/>
        </w:rPr>
        <w:t>固定管理费：</w:t>
      </w:r>
      <w:r>
        <w:rPr>
          <w:rFonts w:hint="eastAsia" w:ascii="仿宋" w:hAnsi="仿宋" w:eastAsia="仿宋" w:cs="仿宋"/>
          <w:sz w:val="24"/>
        </w:rPr>
        <w:t>原则上按日计提，逐日累计</w:t>
      </w:r>
      <w:r>
        <w:rPr>
          <w:rFonts w:hint="eastAsia" w:ascii="仿宋" w:hAnsi="仿宋" w:eastAsia="仿宋" w:cs="仿宋"/>
          <w:sz w:val="24"/>
          <w:lang w:val="en-US" w:eastAsia="zh-CN"/>
        </w:rPr>
        <w:t>至到期日</w:t>
      </w:r>
      <w:r>
        <w:rPr>
          <w:rFonts w:hint="eastAsia" w:ascii="仿宋" w:hAnsi="仿宋" w:eastAsia="仿宋" w:cs="仿宋"/>
          <w:sz w:val="24"/>
        </w:rPr>
        <w:t>从理财计划财产中扣</w:t>
      </w:r>
      <w:bookmarkStart w:id="0" w:name="_GoBack"/>
      <w:bookmarkEnd w:id="0"/>
      <w:r>
        <w:rPr>
          <w:rFonts w:hint="eastAsia" w:ascii="仿宋" w:hAnsi="仿宋" w:eastAsia="仿宋" w:cs="仿宋"/>
          <w:sz w:val="24"/>
        </w:rPr>
        <w:t>除。</w:t>
      </w:r>
    </w:p>
    <w:p>
      <w:pPr>
        <w:numPr>
          <w:ilvl w:val="0"/>
          <w:numId w:val="1"/>
        </w:numPr>
        <w:rPr>
          <w:rFonts w:hint="eastAsia" w:ascii="仿宋" w:hAnsi="仿宋" w:eastAsia="仿宋" w:cs="仿宋"/>
          <w:sz w:val="24"/>
        </w:rPr>
      </w:pPr>
      <w:r>
        <w:rPr>
          <w:rFonts w:hint="eastAsia" w:ascii="仿宋" w:hAnsi="仿宋" w:eastAsia="仿宋" w:cs="仿宋"/>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仿宋" w:hAnsi="仿宋" w:eastAsia="仿宋" w:cs="仿宋"/>
          <w:sz w:val="24"/>
        </w:rPr>
      </w:pPr>
      <w:r>
        <w:rPr>
          <w:rFonts w:hint="eastAsia" w:ascii="仿宋" w:hAnsi="仿宋" w:eastAsia="仿宋" w:cs="仿宋"/>
          <w:sz w:val="24"/>
        </w:rPr>
        <w:t>各期理财产品详细信息可根据产品登记编码登陆中国理财网进行查询。</w:t>
      </w:r>
    </w:p>
    <w:p>
      <w:pPr>
        <w:ind w:left="360"/>
        <w:jc w:val="right"/>
        <w:rPr>
          <w:rFonts w:hint="eastAsia" w:ascii="仿宋" w:hAnsi="仿宋" w:eastAsia="仿宋" w:cs="仿宋"/>
          <w:sz w:val="24"/>
        </w:rPr>
      </w:pPr>
      <w:r>
        <w:rPr>
          <w:rFonts w:hint="eastAsia" w:ascii="仿宋" w:hAnsi="仿宋" w:eastAsia="仿宋" w:cs="仿宋"/>
          <w:sz w:val="24"/>
        </w:rPr>
        <w:t>杭银理财有限责任公司</w:t>
      </w:r>
    </w:p>
    <w:p>
      <w:pPr>
        <w:jc w:val="right"/>
        <w:rPr>
          <w:rFonts w:hint="eastAsia" w:ascii="仿宋" w:hAnsi="仿宋" w:eastAsia="仿宋" w:cs="仿宋"/>
        </w:rPr>
      </w:pPr>
      <w:r>
        <w:rPr>
          <w:rFonts w:hint="eastAsia" w:ascii="仿宋" w:hAnsi="仿宋" w:eastAsia="仿宋" w:cs="仿宋"/>
          <w:sz w:val="24"/>
        </w:rPr>
        <w:t>2022年11月17日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55C91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565</Words>
  <Characters>701</Characters>
  <Lines>5</Lines>
  <Paragraphs>1</Paragraphs>
  <TotalTime>0</TotalTime>
  <ScaleCrop>false</ScaleCrop>
  <LinksUpToDate>false</LinksUpToDate>
  <CharactersWithSpaces>707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施若谷</cp:lastModifiedBy>
  <dcterms:modified xsi:type="dcterms:W3CDTF">2022-11-17T08:30:55Z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