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徽银理财净值型理财产品每周净值公告（2022年11月11日）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11月11日,产品存续份额:88,941,931份，产品当日资产净值:89,184,460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11月11日,产品存续份额:35,130,000份，产品当日资产净值:35,238,808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11月11日,产品存续份额:128,231,459份，产品当日资产净值:128,697,389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11月11日,产品存续份额:75,629,073份，产品当日资产净值:75,914,453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11月11日,产品存续份额:179,545,991份，产品当日资产净值:179,700,700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11月11日,产品存续份额:99,960,000份，产品当日资产净值:100,065,038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11月11日,产品存续份额:86,010,435份，产品当日资产净值:86,022,077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11月11日,产品存续份额:21,040,000份，产品当日资产净值:21,045,616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2022年11月11日,产品存续份额:30,976,827份，产品当日资产净值:30,979,297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2022年11月11日,产品存续份额:725,112份，产品当日资产净值:725,180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2022年11月11日,产品存续份额:4,770,000份，产品当日资产净值:4,770,459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2022年11月15日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