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徽银理财净值型理财产品每周净值公告（2022年12月23日）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2022年12月23日,产品存续份额:88,941,931份，产品当日资产净值:88,040,679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0.989340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0.989340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2022年12月23日,产品存续份额:35,130,000份，产品当日资产净值:34,799,097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0.990581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2022年12月23日,产品存续份额:128,231,459份，产品当日资产净值:127,392,309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0.995562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0.992596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1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2022年12月23日,产品存续份额:75,629,073份，产品当日资产净值:75,153,414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2022年12月23日,产品存续份额:179,545,991份，产品当日资产净值:178,288,589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0.995246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0.992997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2022年12月23日,产品存续份额:99,960,000份，产品当日资产净值:99,313,254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0.992783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0.992783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2022年12月23日,产品存续份额:86,010,435份，产品当日资产净值:84,919,167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0.988742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0.986787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0.986787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2022年12月23日,产品存续份额:21,040,000份，产品当日资产净值:20,783,022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0.989102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0.987786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0.987786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2022年12月23日,产品存续份额:30,976,827份，产品当日资产净值:30,459,984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0.983474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0.983474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0.983315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0.983315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2022年12月23日,产品存续份额:725,112份，产品当日资产净值:713,230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0.990059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0.983726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0.983726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0.983614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0.983614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2022年12月23日,产品存续份额:4,770,000份，产品当日资产净值:4,692,126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0.983776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0.983776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0.983674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4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2022年12月23日,产品存续份额:31,830,806份，产品当日资产净值:31,423,503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0.987204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2022年12月23日,产品存续份额:12,530,000份，产品当日资产净值:12,373,459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0.986885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0.987507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0.987507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2022年12月23日,产品存续份额:14,825,484份，产品当日资产净值:14,634,228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0.992769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0.987100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2022年12月23日,产品存续份额:5,570,000份，产品当日资产净值:5,499,509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0.986723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0.986723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0.987345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4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2022年12月23日,产品存续份额:38,830,220份，产品当日资产净值:38,874,463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2022年12月23日,产品存续份额:34,078,440份，产品当日资产净值:34,104,907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2022年12月23日,产品存续份额:30,427,788份，产品当日资产净值:30,434,268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2022年12月23日,产品存续份额:10,000份，产品当日资产净值:10,002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2022年12月23日,产品存续份额:28,463,842份，产品当日资产净值:28,476,512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2022年12月16日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2022年12月27日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