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Default ContentType="image/jpeg" Extension="jpe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bookmarkStart w:id="0" w:name="_GoBack"/>
      <w:bookmarkEnd w:id="0"/>
      <w:r>
        <w:rPr>
          <w:rFonts w:hint="eastAsia" w:ascii="微软雅黑" w:hAnsi="微软雅黑" w:eastAsia="宋体" w:cs="宋体"/>
          <w:b/>
          <w:bCs/>
          <w:color w:val="004EA2"/>
          <w:kern w:val="0"/>
          <w:sz w:val="28"/>
          <w:szCs w:val="28"/>
        </w:rPr>
        <w:t>幸福99丰裕固收21010期理财计划</w:t>
      </w:r>
    </w:p>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r>
        <w:rPr>
          <w:rFonts w:hint="eastAsia" w:ascii="微软雅黑" w:hAnsi="微软雅黑" w:eastAsia="宋体" w:cs="宋体"/>
          <w:b/>
          <w:bCs/>
          <w:color w:val="004EA2"/>
          <w:kern w:val="0"/>
          <w:sz w:val="28"/>
          <w:szCs w:val="28"/>
        </w:rPr>
        <w:t>产品到期兑付公告</w:t>
      </w:r>
    </w:p>
    <w:p>
      <w:pPr>
        <w:rPr>
          <w:rFonts w:hint="eastAsia" w:ascii="宋体" w:hAnsi="宋体" w:cs="宋体"/>
          <w:sz w:val="28"/>
          <w:szCs w:val="28"/>
        </w:rPr>
      </w:pPr>
      <w:r>
        <w:rPr>
          <w:rFonts w:hint="eastAsia" w:ascii="宋体" w:hAnsi="宋体" w:cs="宋体"/>
          <w:sz w:val="28"/>
          <w:szCs w:val="28"/>
        </w:rPr>
        <w:t>尊敬的投资者：</w:t>
      </w:r>
    </w:p>
    <w:p>
      <w:pPr>
        <w:ind w:firstLine="480"/>
        <w:rPr>
          <w:rFonts w:hint="eastAsia" w:ascii="宋体" w:hAnsi="宋体" w:cs="宋体"/>
          <w:sz w:val="28"/>
          <w:szCs w:val="28"/>
        </w:rPr>
      </w:pPr>
      <w:r>
        <w:rPr>
          <w:rFonts w:hint="eastAsia" w:ascii="宋体" w:hAnsi="宋体" w:cs="宋体"/>
          <w:sz w:val="28"/>
          <w:szCs w:val="28"/>
        </w:rPr>
        <w:t>幸福99丰裕固收21010期理财计划</w:t>
      </w:r>
      <w:r>
        <w:rPr>
          <w:sz w:val="28"/>
        </w:rPr>
        <w:t>产品已于2023年5月23日到期终止，现将相关信息公告如下：</w:t>
      </w:r>
    </w:p>
    <w:tbl>
      <w:tblPr>
        <w:tblW w:w="85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34"/>
        <w:gridCol w:w="4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产品名称</w:t>
            </w:r>
          </w:p>
        </w:tc>
        <w:tc>
          <w:tcPr>
            <w:tcW w:w="4582" w:type="dxa"/>
            <w:vAlign w:val="center"/>
          </w:tcPr>
          <w:p>
            <w:pPr>
              <w:rPr>
                <w:rFonts w:hint="eastAsia" w:ascii="宋体" w:hAnsi="宋体" w:eastAsia="宋体" w:cs="宋体"/>
                <w:sz w:val="24"/>
              </w:rPr>
            </w:pPr>
            <w:r>
              <w:rPr>
                <w:rFonts w:hint="eastAsia" w:ascii="宋体" w:hAnsi="宋体" w:eastAsia="宋体" w:cs="宋体"/>
                <w:sz w:val="24"/>
              </w:rPr>
              <w:t>幸福99丰裕固收21010期理财计划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理财产品代码</w:t>
            </w:r>
          </w:p>
        </w:tc>
        <w:tc>
          <w:tcPr>
            <w:tcW w:w="4582" w:type="dxa"/>
            <w:vAlign w:val="center"/>
          </w:tcPr>
          <w:p>
            <w:pPr>
              <w:rPr>
                <w:rFonts w:hint="eastAsia" w:ascii="宋体" w:hAnsi="宋体" w:eastAsia="宋体" w:cs="宋体"/>
                <w:sz w:val="24"/>
              </w:rPr>
            </w:pPr>
            <w:r>
              <w:rPr>
                <w:rFonts w:hint="eastAsia" w:ascii="宋体" w:hAnsi="宋体" w:eastAsia="宋体" w:cs="宋体"/>
                <w:sz w:val="24"/>
              </w:rPr>
              <w:t>FYG21010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产品登记编码</w:t>
            </w:r>
          </w:p>
        </w:tc>
        <w:tc>
          <w:tcPr>
            <w:tcW w:w="4582" w:type="dxa"/>
            <w:vAlign w:val="center"/>
          </w:tcPr>
          <w:p>
            <w:pPr>
              <w:rPr>
                <w:rFonts w:hint="eastAsia" w:ascii="宋体" w:hAnsi="宋体" w:eastAsia="宋体" w:cs="宋体"/>
                <w:sz w:val="24"/>
              </w:rPr>
            </w:pPr>
            <w:r>
              <w:rPr>
                <w:rFonts w:hint="eastAsia" w:ascii="宋体" w:hAnsi="宋体" w:eastAsia="宋体" w:cs="宋体"/>
                <w:sz w:val="24"/>
              </w:rPr>
              <w:t>Z7002221000021</w:t>
            </w:r>
            <w:r>
              <w:rPr>
                <w:rFonts w:ascii="Times New Roman" w:hAnsi="Times New Roman" w:eastAsia="宋体" w:cs="Times New Roman"/>
                <w:sz w:val="24"/>
              </w:rPr>
              <w:t xml:space="preserve">（可在中国理财网 www.chinawealth.com.cn 查询产品信息）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产品起始日期</w:t>
            </w:r>
          </w:p>
        </w:tc>
        <w:tc>
          <w:tcPr>
            <w:tcW w:w="4582" w:type="dxa"/>
            <w:vAlign w:val="center"/>
          </w:tcPr>
          <w:p>
            <w:pPr>
              <w:rPr>
                <w:rFonts w:hint="eastAsia" w:ascii="宋体" w:hAnsi="宋体" w:eastAsia="宋体" w:cs="宋体"/>
                <w:sz w:val="24"/>
              </w:rPr>
            </w:pPr>
            <w:r>
              <w:rPr>
                <w:rFonts w:hint="eastAsia" w:ascii="宋体" w:hAnsi="宋体" w:eastAsia="宋体" w:cs="宋体"/>
                <w:sz w:val="24"/>
              </w:rPr>
              <w:t>2021-05-11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产品终止日期</w:t>
            </w:r>
          </w:p>
        </w:tc>
        <w:tc>
          <w:tcPr>
            <w:tcW w:w="4582" w:type="dxa"/>
            <w:vAlign w:val="center"/>
          </w:tcPr>
          <w:p>
            <w:pPr>
              <w:rPr>
                <w:rFonts w:hint="eastAsia" w:ascii="宋体" w:hAnsi="宋体" w:eastAsia="宋体" w:cs="宋体"/>
                <w:sz w:val="24"/>
              </w:rPr>
            </w:pPr>
            <w:r>
              <w:rPr>
                <w:rFonts w:hint="eastAsia" w:ascii="宋体" w:hAnsi="宋体" w:eastAsia="宋体" w:cs="宋体"/>
                <w:sz w:val="24"/>
              </w:rPr>
              <w:t>2023-05-23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产品存续天数</w:t>
            </w:r>
          </w:p>
        </w:tc>
        <w:tc>
          <w:tcPr>
            <w:tcW w:w="4582" w:type="dxa"/>
            <w:vAlign w:val="center"/>
          </w:tcPr>
          <w:p>
            <w:pPr>
              <w:rPr>
                <w:rFonts w:hint="eastAsia" w:ascii="宋体" w:hAnsi="宋体" w:eastAsia="宋体" w:cs="宋体"/>
                <w:sz w:val="24"/>
              </w:rPr>
            </w:pPr>
            <w:r>
              <w:rPr>
                <w:rFonts w:hint="eastAsia" w:ascii="宋体" w:hAnsi="宋体" w:eastAsia="宋体" w:cs="宋体"/>
                <w:sz w:val="24"/>
              </w:rPr>
              <w:t>742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highlight w:val="none"/>
              </w:rPr>
            </w:pPr>
            <w:r>
              <w:rPr>
                <w:rFonts w:hint="eastAsia" w:ascii="宋体" w:hAnsi="宋体" w:eastAsia="宋体" w:cs="宋体"/>
                <w:sz w:val="24"/>
                <w:szCs w:val="22"/>
                <w:highlight w:val="none"/>
              </w:rPr>
              <w:t>产品</w:t>
            </w:r>
            <w:r>
              <w:rPr>
                <w:rFonts w:hint="eastAsia" w:ascii="宋体" w:hAnsi="宋体" w:eastAsia="宋体" w:cs="宋体"/>
                <w:sz w:val="24"/>
                <w:szCs w:val="22"/>
                <w:highlight w:val="none"/>
                <w:lang w:val="en-US" w:eastAsia="zh-CN"/>
              </w:rPr>
              <w:t>累计</w:t>
            </w:r>
            <w:r>
              <w:rPr>
                <w:rFonts w:hint="eastAsia" w:ascii="宋体" w:hAnsi="宋体" w:eastAsia="宋体" w:cs="宋体"/>
                <w:sz w:val="24"/>
                <w:szCs w:val="22"/>
                <w:highlight w:val="none"/>
              </w:rPr>
              <w:t>净值</w:t>
            </w:r>
          </w:p>
        </w:tc>
        <w:tc>
          <w:tcPr>
            <w:tcW w:w="4582" w:type="dxa"/>
            <w:vAlign w:val="center"/>
          </w:tcPr>
          <w:p>
            <w:pPr>
              <w:rPr>
                <w:rFonts w:hint="eastAsia" w:ascii="宋体" w:hAnsi="宋体" w:eastAsia="宋体" w:cs="宋体"/>
                <w:sz w:val="24"/>
                <w:highlight w:val="none"/>
              </w:rPr>
            </w:pPr>
            <w:r>
              <w:rPr>
                <w:rFonts w:hint="eastAsia" w:ascii="宋体" w:hAnsi="宋体" w:eastAsia="宋体" w:cs="宋体"/>
                <w:sz w:val="24"/>
                <w:highlight w:val="none"/>
              </w:rPr>
              <w:t>1.0943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default" w:ascii="宋体" w:hAnsi="宋体" w:eastAsia="宋体" w:cs="宋体"/>
                <w:sz w:val="24"/>
                <w:szCs w:val="22"/>
                <w:highlight w:val="none"/>
                <w:lang w:val="en-US" w:eastAsia="zh-CN"/>
              </w:rPr>
            </w:pPr>
            <w:r>
              <w:rPr>
                <w:rFonts w:hint="eastAsia" w:ascii="宋体" w:hAnsi="宋体" w:eastAsia="宋体" w:cs="宋体"/>
                <w:sz w:val="24"/>
                <w:szCs w:val="22"/>
                <w:highlight w:val="none"/>
              </w:rPr>
              <w:t>产品到期兑付净值</w:t>
            </w:r>
          </w:p>
        </w:tc>
        <w:tc>
          <w:tcPr>
            <w:tcW w:w="4582" w:type="dxa"/>
            <w:vAlign w:val="center"/>
          </w:tcPr>
          <w:p>
            <w:pPr>
              <w:rPr>
                <w:rFonts w:hint="eastAsia" w:ascii="宋体" w:hAnsi="宋体" w:eastAsia="宋体" w:cs="宋体"/>
                <w:sz w:val="24"/>
                <w:highlight w:val="none"/>
              </w:rPr>
            </w:pPr>
            <w:r>
              <w:rPr>
                <w:rFonts w:hint="eastAsia" w:ascii="宋体" w:hAnsi="宋体" w:eastAsia="宋体" w:cs="宋体"/>
                <w:sz w:val="24"/>
                <w:highlight w:val="none"/>
              </w:rPr>
              <w:t>1.0943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业绩比较基准</w:t>
            </w:r>
          </w:p>
        </w:tc>
        <w:tc>
          <w:tcPr>
            <w:tcW w:w="4582" w:type="dxa"/>
            <w:vAlign w:val="center"/>
          </w:tcPr>
          <w:p>
            <w:pPr>
              <w:rPr>
                <w:rFonts w:hint="eastAsia" w:ascii="宋体" w:hAnsi="宋体" w:eastAsia="宋体" w:cs="宋体"/>
                <w:sz w:val="24"/>
              </w:rPr>
            </w:pPr>
            <w:r>
              <w:rPr>
                <w:rFonts w:hint="eastAsia" w:ascii="宋体" w:hAnsi="宋体" w:eastAsia="宋体" w:cs="宋体"/>
                <w:sz w:val="24"/>
              </w:rPr>
              <w:t>4.55%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折合年化收益率</w:t>
            </w:r>
          </w:p>
        </w:tc>
        <w:tc>
          <w:tcPr>
            <w:tcW w:w="4582" w:type="dxa"/>
            <w:vAlign w:val="center"/>
          </w:tcPr>
          <w:p>
            <w:pPr>
              <w:rPr>
                <w:rFonts w:hint="eastAsia" w:ascii="宋体" w:hAnsi="宋体" w:eastAsia="宋体" w:cs="宋体"/>
                <w:sz w:val="24"/>
              </w:rPr>
            </w:pPr>
            <w:r>
              <w:rPr>
                <w:rFonts w:hint="eastAsia" w:ascii="宋体" w:hAnsi="宋体" w:eastAsia="宋体" w:cs="宋体"/>
                <w:sz w:val="24"/>
              </w:rPr>
              <w:t>4.6387</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固定管理费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0.30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销售服务费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0.20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浮动管理费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80.00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托管费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0.025</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其他费用</w:t>
            </w:r>
          </w:p>
        </w:tc>
        <w:tc>
          <w:tcPr>
            <w:tcW w:w="4582" w:type="dxa"/>
            <w:vAlign w:val="center"/>
          </w:tcPr>
          <w:p>
            <w:pPr>
              <w:rPr>
                <w:rFonts w:hint="eastAsia" w:ascii="宋体" w:hAnsi="宋体" w:eastAsia="宋体" w:cs="宋体"/>
                <w:sz w:val="24"/>
              </w:rPr>
            </w:pPr>
            <w:r>
              <w:rPr>
                <w:rFonts w:hint="eastAsia" w:ascii="宋体" w:hAnsi="宋体" w:eastAsia="宋体" w:cs="宋体"/>
                <w:sz w:val="24"/>
              </w:rPr>
              <w:t>0.00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收益分配情况（单位：万元）</w:t>
            </w:r>
          </w:p>
        </w:tc>
        <w:tc>
          <w:tcPr>
            <w:tcW w:w="4582" w:type="dxa"/>
            <w:vAlign w:val="center"/>
          </w:tcPr>
          <w:p>
            <w:pPr>
              <w:rPr>
                <w:rFonts w:hint="eastAsia" w:ascii="宋体" w:hAnsi="宋体" w:eastAsia="宋体" w:cs="宋体"/>
                <w:sz w:val="24"/>
              </w:rPr>
            </w:pPr>
            <w:r>
              <w:rPr>
                <w:rFonts w:hint="eastAsia" w:ascii="宋体" w:hAnsi="宋体" w:eastAsia="宋体" w:cs="宋体"/>
                <w:sz w:val="24"/>
              </w:rPr>
              <w:t>7888.30</w:t>
            </w:r>
          </w:p>
        </w:tc>
      </w:tr>
    </w:tbl>
    <w:p>
      <w:pPr>
        <w:rPr>
          <w:rFonts w:hint="eastAsia" w:ascii="宋体" w:hAnsi="宋体" w:eastAsia="宋体" w:cs="宋体"/>
          <w:sz w:val="24"/>
          <w:szCs w:val="22"/>
        </w:rPr>
      </w:pPr>
    </w:p>
    <w:p>
      <w:pPr>
        <w:ind w:firstLine="420" w:firstLineChars="200"/>
        <w:rPr>
          <w:rFonts w:hint="eastAsia" w:ascii="宋体" w:hAnsi="宋体" w:cs="宋体"/>
          <w:sz w:val="28"/>
          <w:szCs w:val="24"/>
        </w:rPr>
      </w:pPr>
      <w:r>
        <w:rPr>
          <w:rFonts w:hint="eastAsia" w:ascii="宋体" w:hAnsi="宋体" w:cs="宋体"/>
          <w:sz w:val="28"/>
          <w:szCs w:val="24"/>
        </w:rPr>
        <w:t>特此公告。</w:t>
      </w:r>
    </w:p>
    <w:p>
      <w:pPr>
        <w:rPr>
          <w:rFonts w:hint="eastAsia" w:ascii="宋体" w:hAnsi="宋体" w:cs="宋体"/>
          <w:sz w:val="24"/>
        </w:rPr>
      </w:pPr>
    </w:p>
    <w:p>
      <w:pPr>
        <w:rPr>
          <w:rFonts w:hint="eastAsia" w:ascii="宋体" w:hAnsi="宋体" w:cs="宋体"/>
          <w:sz w:val="24"/>
        </w:rPr>
      </w:pPr>
      <w:r>
        <w:rPr>
          <w:rFonts w:hint="eastAsia" w:ascii="宋体" w:hAnsi="宋体" w:cs="宋体"/>
          <w:sz w:val="24"/>
        </w:rPr>
        <w:t>注：</w:t>
      </w:r>
    </w:p>
    <w:p>
      <w:pPr>
        <w:numPr>
          <w:ilvl w:val="0"/>
          <w:numId w:val="1"/>
        </w:numPr>
        <w:rPr>
          <w:rFonts w:hint="eastAsia" w:ascii="宋体" w:hAnsi="宋体" w:cs="宋体"/>
          <w:sz w:val="24"/>
        </w:rPr>
      </w:pPr>
      <w:r>
        <w:rPr>
          <w:rFonts w:hint="eastAsia" w:ascii="宋体" w:hAnsi="宋体" w:cs="宋体"/>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hint="eastAsia" w:ascii="宋体" w:hAnsi="宋体" w:cs="宋体"/>
          <w:sz w:val="24"/>
        </w:rPr>
      </w:pPr>
      <w:r>
        <w:rPr>
          <w:rFonts w:hint="eastAsia" w:ascii="宋体" w:hAnsi="宋体" w:cs="宋体"/>
          <w:sz w:val="24"/>
        </w:rPr>
        <w:t>托管费：原则上按日计提，逐日累计</w:t>
      </w:r>
      <w:r>
        <w:rPr>
          <w:rFonts w:hint="eastAsia" w:ascii="宋体" w:hAnsi="宋体" w:cs="宋体"/>
          <w:sz w:val="24"/>
          <w:lang w:val="en-US" w:eastAsia="zh-CN"/>
        </w:rPr>
        <w:t>至到期日</w:t>
      </w:r>
      <w:r>
        <w:rPr>
          <w:rFonts w:hint="eastAsia" w:ascii="宋体" w:hAnsi="宋体" w:cs="宋体"/>
          <w:sz w:val="24"/>
        </w:rPr>
        <w:t>从理财计划财产中扣除。</w:t>
      </w:r>
    </w:p>
    <w:p>
      <w:pPr>
        <w:numPr>
          <w:ilvl w:val="0"/>
          <w:numId w:val="1"/>
        </w:numPr>
        <w:rPr>
          <w:rFonts w:hint="eastAsia" w:ascii="宋体" w:hAnsi="宋体" w:cs="宋体"/>
          <w:sz w:val="24"/>
        </w:rPr>
      </w:pPr>
      <w:r>
        <w:rPr>
          <w:rFonts w:hint="eastAsia" w:ascii="宋体" w:hAnsi="宋体" w:cs="宋体"/>
          <w:sz w:val="24"/>
        </w:rPr>
        <w:t>固定管理费：原则上按日计提，逐日累计</w:t>
      </w:r>
      <w:r>
        <w:rPr>
          <w:rFonts w:hint="eastAsia" w:ascii="宋体" w:hAnsi="宋体" w:cs="宋体"/>
          <w:sz w:val="24"/>
          <w:lang w:val="en-US" w:eastAsia="zh-CN"/>
        </w:rPr>
        <w:t>至到期日</w:t>
      </w:r>
      <w:r>
        <w:rPr>
          <w:rFonts w:hint="eastAsia" w:ascii="宋体" w:hAnsi="宋体" w:cs="宋体"/>
          <w:sz w:val="24"/>
        </w:rPr>
        <w:t>从理财计划财产中扣除。</w:t>
      </w:r>
    </w:p>
    <w:p>
      <w:pPr>
        <w:numPr>
          <w:ilvl w:val="0"/>
          <w:numId w:val="1"/>
        </w:numPr>
        <w:rPr>
          <w:rFonts w:hint="eastAsia" w:ascii="宋体" w:hAnsi="宋体" w:cs="宋体"/>
          <w:sz w:val="24"/>
        </w:rPr>
      </w:pPr>
      <w:r>
        <w:rPr>
          <w:rFonts w:hint="eastAsia" w:ascii="宋体" w:hAnsi="宋体" w:cs="宋体"/>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hint="eastAsia" w:ascii="宋体" w:hAnsi="宋体" w:cs="宋体"/>
          <w:sz w:val="24"/>
        </w:rPr>
      </w:pPr>
      <w:r>
        <w:rPr>
          <w:rFonts w:hint="eastAsia" w:ascii="宋体" w:hAnsi="宋体" w:cs="宋体"/>
          <w:sz w:val="24"/>
        </w:rPr>
        <w:t>各期理财产品详细信息可根据产品登记编码登陆中国理财网进行查询。</w:t>
      </w:r>
    </w:p>
    <w:p>
      <w:pPr>
        <w:ind w:left="360"/>
        <w:jc w:val="right"/>
        <w:rPr>
          <w:rFonts w:hint="eastAsia" w:ascii="仿宋_GB2312" w:hAnsi="仿宋_GB2312" w:eastAsia="仿宋_GB2312" w:cs="仿宋_GB2312"/>
          <w:sz w:val="24"/>
        </w:rPr>
      </w:pPr>
    </w:p>
    <w:p>
      <w:pPr>
        <w:ind w:left="360"/>
        <w:jc w:val="right"/>
        <w:rPr>
          <w:rFonts w:hint="eastAsia" w:ascii="仿宋_GB2312" w:hAnsi="仿宋_GB2312" w:eastAsia="仿宋_GB2312" w:cs="仿宋_GB2312"/>
          <w:sz w:val="28"/>
          <w:szCs w:val="28"/>
        </w:rPr>
      </w:pPr>
    </w:p>
    <w:p>
      <w:pPr>
        <w:ind w:left="360"/>
        <w:jc w:val="right"/>
        <w:rPr>
          <w:rFonts w:hint="eastAsia" w:ascii="宋体" w:hAnsi="宋体" w:cs="宋体"/>
          <w:sz w:val="28"/>
          <w:szCs w:val="28"/>
        </w:rPr>
      </w:pPr>
      <w:r>
        <w:rPr>
          <w:rFonts w:hint="eastAsia" w:ascii="宋体" w:hAnsi="宋体" w:cs="宋体"/>
          <w:sz w:val="28"/>
          <w:szCs w:val="28"/>
        </w:rPr>
        <w:t>杭银理财有限责任公司</w:t>
      </w:r>
    </w:p>
    <w:p>
      <w:pPr>
        <w:jc w:val="right"/>
        <w:rPr>
          <w:rFonts w:hint="eastAsia" w:ascii="宋体" w:hAnsi="宋体" w:cs="宋体"/>
          <w:sz w:val="28"/>
          <w:szCs w:val="28"/>
        </w:rPr>
      </w:pPr>
      <w:r>
        <w:rPr>
          <w:rFonts w:hint="eastAsia" w:ascii="宋体" w:hAnsi="宋体" w:cs="宋体"/>
          <w:sz w:val="28"/>
          <w:szCs w:val="28"/>
        </w:rPr>
        <w:t>2023年5月25日</w:t>
      </w:r>
    </w:p>
    <w:sectPr>
      <w:headerReference r:id="rId4" w:type="default"/>
      <w:pgSz w:w="11906" w:h="16838"/>
      <w:pgMar w:top="2551" w:right="1803" w:bottom="2551" w:left="1803" w:header="851" w:footer="992" w:gutter="0"/>
      <w:cols w:space="72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Calibri">
    <w:panose1 w:val="020F0502020204030204"/>
    <w:charset w:val="00"/>
    <w:family w:val="auto"/>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pPr>
    <w:r>
      <w:rPr>
        <w:rFonts w:ascii="Calibri" w:hAnsi="Calibri" w:eastAsia="宋体" w:cs="黑体"/>
        <w:kern w:val="2"/>
        <w:sz w:val="18"/>
        <w:szCs w:val="24"/>
        <w:lang w:val="en-US" w:eastAsia="zh-CN" w:bidi="ar-SA"/>
      </w:rPr>
      <w:pict>
        <v:shape id="WordPictureWatermark140627" o:spid="_x0000_s1025" type="#_x0000_t75" style="position:absolute;left:0;height:840.3pt;width:594pt;mso-position-horizontal:center;mso-position-horizontal-relative:margin;mso-position-vertical:center;mso-position-vertical-relative:margin;rotation:0f;z-index:-251658240;" o:ole="f" fillcolor="#FFFFFF" filled="f" o:preferrelative="t" stroked="f" coordorigin="0,0" coordsize="21600,21600">
          <v:fill on="f" color2="#FFFFFF" focus="0%"/>
          <v:imagedata gain="65536f" blacklevel="0f" gamma="0" o:title="" r:id="rId1"/>
          <o:lock v:ext="edit" position="f" selection="f" grouping="f" rotation="f" cropping="f" text="f"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490213836">
    <w:nsid w:val="1D3811CC"/>
    <w:multiLevelType w:val="multilevel"/>
    <w:tmpl w:val="1D3811CC"/>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4902138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MDZlY2ZiYmExOWJmOTY5NWFmNzQwOWFhNmE0ZjgxMTMifQ=="/>
  </w:docVar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qFormat/>
    <w:uiPriority w:val="0"/>
    <w:pPr>
      <w:widowControl w:val="0"/>
      <w:spacing w:after="200" w:line="276" w:lineRule="auto"/>
      <w:jc w:val="both"/>
    </w:pPr>
    <w:rPr>
      <w:rFonts w:ascii="Calibri" w:hAnsi="Calibri" w:eastAsia="宋体" w:cs="黑体"/>
      <w:kern w:val="2"/>
      <w:sz w:val="21"/>
      <w:szCs w:val="24"/>
      <w:lang w:val="en-US" w:eastAsia="zh-CN" w:bidi="ar-SA"/>
    </w:rPr>
  </w:style>
  <w:style w:type="paragraph" w:styleId="2">
    <w:name w:val="heading 1"/>
    <w:basedOn w:val="1"/>
    <w:next w:val="1"/>
    <w:qFormat/>
    <w:uiPriority w:val="0"/>
    <w:pPr>
      <w:keepNext/>
      <w:keepLines/>
      <w:spacing w:line="400" w:lineRule="exact"/>
      <w:jc w:val="center"/>
      <w:outlineLvl w:val="0"/>
    </w:pPr>
    <w:rPr>
      <w:rFonts w:ascii="Times New Roman" w:hAnsi="Times New Roman" w:eastAsia="宋体"/>
      <w:b/>
      <w:kern w:val="44"/>
      <w:sz w:val="24"/>
    </w:rPr>
  </w:style>
  <w:style w:type="paragraph" w:styleId="3">
    <w:name w:val="heading 2"/>
    <w:basedOn w:val="1"/>
    <w:next w:val="1"/>
    <w:unhideWhenUsed/>
    <w:qFormat/>
    <w:uiPriority w:val="0"/>
    <w:pPr>
      <w:keepNext/>
      <w:keepLines/>
      <w:spacing w:line="400" w:lineRule="exact"/>
      <w:jc w:val="left"/>
      <w:outlineLvl w:val="1"/>
    </w:pPr>
    <w:rPr>
      <w:rFonts w:ascii="Arial" w:hAnsi="Arial" w:eastAsia="宋体"/>
      <w:b/>
    </w:rPr>
  </w:style>
  <w:style w:type="paragraph" w:styleId="4">
    <w:name w:val="heading 3"/>
    <w:basedOn w:val="1"/>
    <w:next w:val="1"/>
    <w:unhideWhenUsed/>
    <w:qFormat/>
    <w:uiPriority w:val="0"/>
    <w:pPr>
      <w:keepNext/>
      <w:keepLines/>
      <w:spacing w:line="400" w:lineRule="exact"/>
      <w:jc w:val="left"/>
      <w:outlineLvl w:val="2"/>
    </w:pPr>
    <w:rPr>
      <w:rFonts w:ascii="Times New Roman" w:hAnsi="Times New Roman" w:eastAsia="宋体"/>
      <w:b/>
    </w:rPr>
  </w:style>
  <w:style w:type="character" w:default="1" w:styleId="8">
    <w:name w:val="Default Paragraph Font"/>
    <w:semiHidden/>
    <w:unhideWhenUsed/>
    <w:qFormat/>
    <w:uiPriority w:val="1"/>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theme" Target="theme/theme1.xml"/><Relationship Id="rId6" Type="http://schemas.openxmlformats.org/officeDocument/2006/relationships/customXml" Target="../customXml/item1.xml"/><Relationship Id="rId7"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125</Words>
  <Characters>717</Characters>
  <Lines>5</Lines>
  <Paragraphs>1</Paragraphs>
  <TotalTime>0</TotalTime>
  <ScaleCrop>false</ScaleCrop>
  <LinksUpToDate>false</LinksUpToDate>
  <CharactersWithSpaces>0</CharactersWithSpaces>
  <Application>WPS Office 专业版_9.1.0.4688_{F1E327BC-269C-435d-A152-05C5408002CA}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2022-08-17T14:47:00Z</dcterms:created>
  <dc:creator>Administrator</dc:creator>
  <cp:lastModifiedBy>hccb</cp:lastModifiedBy>
  <dcterms:modified xsi:type="dcterms:W3CDTF">2023-05-26T08:44:37Z</dcterms:modified>
  <dc:title>幸福99丰裕固收21010期理财计划</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2052-9.1.0.4688</vt:lpwstr>
  </property>
</Properties>
</file>