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CPWMG6GP7RSA00BGQVR8ILJM7NN0OXVREN0XNJD6XGPRTDLTZIBRPCJTFSUTPCRRXJMXOOL9ZI778HXJQUFTRFFA89QMWHLB8FOOYHB3655624C92CF18762F46E3E711CF12F30" Type="http://schemas.microsoft.com/office/2006/relationships/officeDocumentMain" Target="docProps/core.xml"/><Relationship Id="DQWFY6GE7RYQ0TTG9GR8MLJM7NL0OXPREX0XFJD8XF8RTECT60BRICJAFYRTPFRRXUMX9OZGZHJD8IEJRSFARFF68RMMWI5BAOOOQHB3513E303D1A92ED19D5BD775EF0C34BDA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徽银理财净值型理财产品每周净值公告（2023年07月28日）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07月28日,产品存续份额:128,231,459份，产品当日资产净值:131,785,575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1.025838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1.025838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1.026938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1.026938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1.027716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1.027716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07月28日,产品存续份额:75,629,073份，产品当日资产净值:77,789,923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07月28日,产品存续份额:233,065,569份，产品当日资产净值:238,199,924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07月28日,产品存续份额:449,746,769份，产品当日资产净值:459,140,448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1.020071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1.020071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07月28日,产品存续份额:13,941,350份，产品当日资产净值:14,225,764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1.019604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1.019604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07月28日,产品存续份额:56,862,535份，产品当日资产净值:57,329,858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1.007023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1.007023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1.008218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1.008218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07月28日,产品存续份额:2,390,000份，产品当日资产净值:2,411,506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07月28日,产品存续份额:31,172,403份，产品当日资产净值:31,355,613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07月28日,产品存续份额:3,550,000份，产品当日资产净值:3,574,149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07月28日,产品存续份额:8,056,277份，产品当日资产净值:8,246,701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1.022837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07月28日,产品存续份额:34,963,033份，产品当日资产净值:35,552,895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1.016871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1.016871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07月28日,产品存续份额:70,552,652份，产品当日资产净值:71,852,013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1.018417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1.018417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07月28日,产品存续份额:38,340,762份，产品当日资产净值:38,921,497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2023年08月01日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