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bookmarkStart w:id="0" w:name="_GoBack"/>
      <w:bookmarkEnd w:id="0"/>
      <w:r>
        <w:rPr>
          <w:rFonts w:hint="eastAsia" w:ascii="微软雅黑" w:hAnsi="微软雅黑" w:eastAsia="宋体" w:cs="宋体"/>
          <w:b/>
          <w:bCs/>
          <w:color w:val="004EA2"/>
          <w:kern w:val="0"/>
          <w:sz w:val="28"/>
          <w:szCs w:val="28"/>
        </w:rPr>
        <w:t>杭银理财幸福99丰裕固收21021期理财计划</w:t>
      </w:r>
    </w:p>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r>
        <w:rPr>
          <w:rFonts w:hint="eastAsia" w:ascii="微软雅黑" w:hAnsi="微软雅黑" w:eastAsia="宋体" w:cs="宋体"/>
          <w:b/>
          <w:bCs/>
          <w:color w:val="004EA2"/>
          <w:kern w:val="0"/>
          <w:sz w:val="28"/>
          <w:szCs w:val="28"/>
        </w:rPr>
        <w:t>产品到期兑付公告</w:t>
      </w:r>
    </w:p>
    <w:p>
      <w:pPr>
        <w:rPr>
          <w:rFonts w:hint="eastAsia" w:asciiTheme="minorEastAsia" w:hAnsiTheme="minorEastAsia" w:cstheme="minorEastAsia"/>
          <w:sz w:val="28"/>
          <w:szCs w:val="28"/>
        </w:rPr>
      </w:pPr>
      <w:r>
        <w:rPr>
          <w:rFonts w:hint="eastAsia" w:asciiTheme="minorEastAsia" w:hAnsiTheme="minorEastAsia" w:cstheme="minorEastAsia"/>
          <w:sz w:val="28"/>
          <w:szCs w:val="28"/>
        </w:rPr>
        <w:t>尊敬的投资者：</w:t>
      </w:r>
    </w:p>
    <w:p>
      <w:pPr>
        <w:ind w:firstLine="480"/>
        <w:rPr>
          <w:rFonts w:hint="eastAsia" w:asciiTheme="minorEastAsia" w:hAnsiTheme="minorEastAsia" w:cstheme="minorEastAsia"/>
          <w:sz w:val="28"/>
          <w:szCs w:val="28"/>
        </w:rPr>
      </w:pPr>
      <w:r>
        <w:rPr>
          <w:rFonts w:hint="eastAsia" w:asciiTheme="minorEastAsia" w:hAnsiTheme="minorEastAsia" w:cstheme="minorEastAsia"/>
          <w:sz w:val="28"/>
          <w:szCs w:val="28"/>
        </w:rPr>
        <w:t>杭银理财幸福99丰裕固收21021期理财计划</w:t>
      </w:r>
      <w:r>
        <w:rPr>
          <w:sz w:val="28"/>
        </w:rPr>
        <w:t>产品已于2023年10月10日到期终止，现将相关信息公告如下：</w:t>
      </w:r>
    </w:p>
    <w:tbl>
      <w:tblPr>
        <w:tblStyle w:val="9"/>
        <w:tblW w:w="85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4"/>
        <w:gridCol w:w="4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产品名称</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杭银理财幸福99丰裕固收21021期理财计划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理财产品代码</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FYG21021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产品登记编码</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Z7002221000214</w:t>
            </w:r>
            <w:r>
              <w:rPr>
                <w:sz w:val="24"/>
              </w:rPr>
              <w:t xml:space="preserve">（可在中国理财网 www.chinawealth.com.cn 查询产品信息）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产品起始日期</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2021-09-23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产品终止日期</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2023-10-10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产品存续天数</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szCs w:val="22"/>
                <w:highlight w:val="none"/>
              </w:rPr>
              <w:t>产品</w:t>
            </w:r>
            <w:r>
              <w:rPr>
                <w:rFonts w:hint="eastAsia" w:asciiTheme="minorEastAsia" w:hAnsiTheme="minorEastAsia" w:cstheme="minorEastAsia"/>
                <w:sz w:val="24"/>
                <w:szCs w:val="22"/>
                <w:highlight w:val="none"/>
                <w:lang w:val="en-US" w:eastAsia="zh-CN"/>
              </w:rPr>
              <w:t>累计</w:t>
            </w:r>
            <w:r>
              <w:rPr>
                <w:rFonts w:hint="eastAsia" w:asciiTheme="minorEastAsia" w:hAnsiTheme="minorEastAsia" w:eastAsiaTheme="minorEastAsia" w:cstheme="minorEastAsia"/>
                <w:sz w:val="24"/>
                <w:szCs w:val="22"/>
                <w:highlight w:val="none"/>
              </w:rPr>
              <w:t>净值</w:t>
            </w:r>
          </w:p>
        </w:tc>
        <w:tc>
          <w:tcPr>
            <w:tcW w:w="4582"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1.0816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default" w:asciiTheme="minorEastAsia" w:hAnsiTheme="minorEastAsia" w:eastAsiaTheme="minorEastAsia" w:cstheme="minorEastAsia"/>
                <w:sz w:val="24"/>
                <w:szCs w:val="22"/>
                <w:highlight w:val="none"/>
                <w:lang w:val="en-US" w:eastAsia="zh-CN"/>
              </w:rPr>
            </w:pPr>
            <w:r>
              <w:rPr>
                <w:rFonts w:hint="eastAsia" w:asciiTheme="minorEastAsia" w:hAnsiTheme="minorEastAsia" w:eastAsiaTheme="minorEastAsia" w:cstheme="minorEastAsia"/>
                <w:sz w:val="24"/>
                <w:szCs w:val="22"/>
                <w:highlight w:val="none"/>
              </w:rPr>
              <w:t>产品到期兑付净值</w:t>
            </w:r>
          </w:p>
        </w:tc>
        <w:tc>
          <w:tcPr>
            <w:tcW w:w="4582"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1.0816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业绩比较基准</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4.60%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折合年化收益率</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3.9871</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固定管理费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0.30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销售服务费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0.20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浮动管理费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80.00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托管费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0.025</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其他费用</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0.00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收益分配情况（单位：万元）</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3480.45</w:t>
            </w:r>
          </w:p>
        </w:tc>
      </w:tr>
    </w:tbl>
    <w:p>
      <w:pPr>
        <w:rPr>
          <w:rFonts w:hint="eastAsia" w:asciiTheme="minorEastAsia" w:hAnsiTheme="minorEastAsia" w:eastAsiaTheme="minorEastAsia" w:cstheme="minorEastAsia"/>
          <w:sz w:val="24"/>
          <w:szCs w:val="22"/>
        </w:rPr>
      </w:pPr>
    </w:p>
    <w:p>
      <w:pPr>
        <w:ind w:firstLine="560" w:firstLineChars="200"/>
        <w:rPr>
          <w:rFonts w:hint="eastAsia" w:asciiTheme="minorEastAsia" w:hAnsiTheme="minorEastAsia" w:cstheme="minorEastAsia"/>
          <w:sz w:val="28"/>
          <w:szCs w:val="24"/>
        </w:rPr>
      </w:pPr>
      <w:r>
        <w:rPr>
          <w:rFonts w:hint="eastAsia" w:asciiTheme="minorEastAsia" w:hAnsiTheme="minorEastAsia" w:cstheme="minorEastAsia"/>
          <w:sz w:val="28"/>
          <w:szCs w:val="24"/>
        </w:rPr>
        <w:t>特此公告。</w:t>
      </w:r>
    </w:p>
    <w:p>
      <w:pPr>
        <w:rPr>
          <w:rFonts w:hint="eastAsia" w:asciiTheme="minorEastAsia" w:hAnsiTheme="minorEastAsia" w:cstheme="minorEastAsia"/>
          <w:sz w:val="24"/>
        </w:rPr>
      </w:pPr>
    </w:p>
    <w:p>
      <w:pPr>
        <w:rPr>
          <w:rFonts w:hint="eastAsia" w:asciiTheme="minorEastAsia" w:hAnsiTheme="minorEastAsia" w:cstheme="minorEastAsia"/>
          <w:sz w:val="24"/>
        </w:rPr>
      </w:pPr>
      <w:r>
        <w:rPr>
          <w:rFonts w:hint="eastAsia" w:asciiTheme="minorEastAsia" w:hAnsiTheme="minorEastAsia" w:cstheme="minorEastAsia"/>
          <w:sz w:val="24"/>
        </w:rPr>
        <w:t>注：</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托管费：原则上按日计提，逐日累计</w:t>
      </w:r>
      <w:r>
        <w:rPr>
          <w:rFonts w:hint="eastAsia" w:asciiTheme="minorEastAsia" w:hAnsiTheme="minorEastAsia" w:cstheme="minorEastAsia"/>
          <w:sz w:val="24"/>
          <w:lang w:val="en-US" w:eastAsia="zh-CN"/>
        </w:rPr>
        <w:t>至到期日</w:t>
      </w:r>
      <w:r>
        <w:rPr>
          <w:rFonts w:hint="eastAsia" w:asciiTheme="minorEastAsia" w:hAnsiTheme="minorEastAsia" w:cstheme="minorEastAsia"/>
          <w:sz w:val="24"/>
        </w:rPr>
        <w:t>从理财计划财产中扣除。</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固定管理费：原则上按日计提，逐日累计</w:t>
      </w:r>
      <w:r>
        <w:rPr>
          <w:rFonts w:hint="eastAsia" w:asciiTheme="minorEastAsia" w:hAnsiTheme="minorEastAsia" w:cstheme="minorEastAsia"/>
          <w:sz w:val="24"/>
          <w:lang w:val="en-US" w:eastAsia="zh-CN"/>
        </w:rPr>
        <w:t>至到期日</w:t>
      </w:r>
      <w:r>
        <w:rPr>
          <w:rFonts w:hint="eastAsia" w:asciiTheme="minorEastAsia" w:hAnsiTheme="minorEastAsia" w:cstheme="minorEastAsia"/>
          <w:sz w:val="24"/>
        </w:rPr>
        <w:t>从理财计划财产中扣除。</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各期理财产品详细信息可根据产品登记编码登陆中国理财网进行查询。</w:t>
      </w:r>
    </w:p>
    <w:p>
      <w:pPr>
        <w:ind w:left="360"/>
        <w:jc w:val="right"/>
        <w:rPr>
          <w:rFonts w:hint="eastAsia" w:ascii="仿宋_GB2312" w:hAnsi="仿宋_GB2312" w:eastAsia="仿宋_GB2312" w:cs="仿宋_GB2312"/>
          <w:sz w:val="24"/>
        </w:rPr>
      </w:pPr>
    </w:p>
    <w:p>
      <w:pPr>
        <w:ind w:left="360"/>
        <w:jc w:val="right"/>
        <w:rPr>
          <w:rFonts w:hint="eastAsia" w:ascii="仿宋_GB2312" w:hAnsi="仿宋_GB2312" w:eastAsia="仿宋_GB2312" w:cs="仿宋_GB2312"/>
          <w:sz w:val="28"/>
          <w:szCs w:val="28"/>
        </w:rPr>
      </w:pPr>
    </w:p>
    <w:p>
      <w:pPr>
        <w:ind w:left="360"/>
        <w:jc w:val="right"/>
        <w:rPr>
          <w:rFonts w:hint="eastAsia" w:asciiTheme="minorEastAsia" w:hAnsiTheme="minorEastAsia" w:cstheme="minorEastAsia"/>
          <w:sz w:val="28"/>
          <w:szCs w:val="28"/>
        </w:rPr>
      </w:pPr>
      <w:r>
        <w:rPr>
          <w:rFonts w:hint="eastAsia" w:asciiTheme="minorEastAsia" w:hAnsiTheme="minorEastAsia" w:cstheme="minorEastAsia"/>
          <w:sz w:val="28"/>
          <w:szCs w:val="28"/>
        </w:rPr>
        <w:t>杭银理财有限责任公司</w:t>
      </w:r>
    </w:p>
    <w:p>
      <w:pPr>
        <w:jc w:val="right"/>
        <w:rPr>
          <w:rFonts w:hint="eastAsia" w:asciiTheme="minorEastAsia" w:hAnsiTheme="minorEastAsia" w:cstheme="minorEastAsia"/>
          <w:sz w:val="28"/>
          <w:szCs w:val="28"/>
        </w:rPr>
      </w:pPr>
      <w:r>
        <w:rPr>
          <w:rFonts w:hint="eastAsia" w:asciiTheme="minorEastAsia" w:hAnsiTheme="minorEastAsia" w:cstheme="minorEastAsia"/>
          <w:sz w:val="28"/>
          <w:szCs w:val="28"/>
        </w:rPr>
        <w:t>2023年10月12日</w:t>
      </w:r>
    </w:p>
    <w:sectPr>
      <w:headerReference r:id="rId3" w:type="default"/>
      <w:pgSz w:w="11906" w:h="16838"/>
      <w:pgMar w:top="2551" w:right="1803" w:bottom="2551" w:left="1803" w:header="851" w:footer="992" w:gutter="0"/>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3811CC"/>
    <w:multiLevelType w:val="multilevel"/>
    <w:tmpl w:val="1D3811C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hideSpellingErrors/>
  <w:hideGrammaticalErrors/>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w:rsids>
    <w:rsidRoot w:val="00000000"/>
    <w:rsid w:val="1B7440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400" w:lineRule="exact"/>
      <w:jc w:val="center"/>
      <w:outlineLvl w:val="0"/>
    </w:pPr>
    <w:rPr>
      <w:rFonts w:ascii="Times New Roman" w:hAnsi="Times New Roman" w:eastAsia="宋体"/>
      <w:b/>
      <w:kern w:val="44"/>
      <w:sz w:val="24"/>
    </w:rPr>
  </w:style>
  <w:style w:type="paragraph" w:styleId="3">
    <w:name w:val="heading 2"/>
    <w:basedOn w:val="1"/>
    <w:next w:val="1"/>
    <w:unhideWhenUsed/>
    <w:qFormat/>
    <w:uiPriority w:val="0"/>
    <w:pPr>
      <w:keepNext/>
      <w:keepLines/>
      <w:spacing w:line="400" w:lineRule="exact"/>
      <w:jc w:val="left"/>
      <w:outlineLvl w:val="1"/>
    </w:pPr>
    <w:rPr>
      <w:rFonts w:ascii="Arial" w:hAnsi="Arial" w:eastAsia="宋体"/>
      <w:b/>
    </w:rPr>
  </w:style>
  <w:style w:type="paragraph" w:styleId="4">
    <w:name w:val="heading 3"/>
    <w:basedOn w:val="1"/>
    <w:next w:val="1"/>
    <w:unhideWhenUsed/>
    <w:qFormat/>
    <w:uiPriority w:val="0"/>
    <w:pPr>
      <w:keepNext/>
      <w:keepLines/>
      <w:spacing w:line="400" w:lineRule="exact"/>
      <w:jc w:val="left"/>
      <w:outlineLvl w:val="2"/>
    </w:pPr>
    <w:rPr>
      <w:rFonts w:ascii="Times New Roman" w:hAnsi="Times New Roman" w:eastAsia="宋体"/>
      <w:b/>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9">
    <w:name w:val="Table Grid"/>
    <w:basedOn w:val="8"/>
    <w:qFormat/>
    <w:uiPriority w:val="9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125</Words>
  <Characters>717</Characters>
  <Lines>5</Lines>
  <Paragraphs>1</Paragraphs>
  <TotalTime>5</TotalTime>
  <ScaleCrop>false</ScaleCrop>
  <LinksUpToDate>false</LinksUpToDate>
  <CharactersWithSpaces>841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2022-08-17T14:47:00Z</dcterms:created>
  <dc:creator>Administrator</dc:creator>
  <cp:lastModifiedBy>hccb</cp:lastModifiedBy>
  <dcterms:modified xsi:type="dcterms:W3CDTF">2023-10-13T00:36:04Z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