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2023年10月23日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2023年10月17日至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2023年10月23日开放申购/赎回。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2023-10-24至2023-10-30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2023-10-30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2023-10-31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2023-10-17至2023-10-23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2023-10-10至2023-10-16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2023-09-26至2023-10-09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2023年10月24日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