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南银理财珠联璧合日日聚宝现金管理类公募人民币理财产品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2719"/>
        <w:gridCol w:w="6178"/>
      </w:tblGrid>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南银理财珠联璧合日日聚宝现金管理类公募人民币理财产品</w:t>
            </w:r>
          </w:p>
        </w:tc>
      </w:tr>
      <w:tr w:rsidR="00B31DA4" w:rsidTr="00497C69">
        <w:trPr>
          <w:trHeight w:val="1300"/>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Z7003220000009（投资者可依据该编码在中国理财网www.chinawealth.com.cn查询理财产品相关信息）</w:t>
            </w:r>
          </w:p>
        </w:tc>
      </w:tr>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开放式净值型</w:t>
            </w:r>
          </w:p>
        </w:tc>
      </w:tr>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2019年10月22日</w:t>
            </w:r>
          </w:p>
        </w:tc>
      </w:tr>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25,403,088,219.39份</w:t>
            </w:r>
          </w:p>
        </w:tc>
      </w:tr>
      <w:tr w:rsidR="00B31DA4" w:rsidTr="00497C69">
        <w:trPr>
          <w:trHeight w:val="688"/>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中粮信托有限责任公司,华润深国投信托有限公司,光大永明资产管理股份有限公司</w:t>
            </w:r>
          </w:p>
        </w:tc>
      </w:tr>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南银理财有限责任公司</w:t>
            </w:r>
          </w:p>
        </w:tc>
      </w:tr>
      <w:tr w:rsidR="00B31DA4" w:rsidTr="00497C69">
        <w:trPr>
          <w:trHeight w:val="714"/>
          <w:jc w:val="center"/>
        </w:trPr>
        <w:tc>
          <w:tcPr>
            <w:tcW w:w="2719"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4A27BD">
            <w:pPr>
              <w:spacing w:beforeLines="20" w:afterLines="20"/>
              <w:jc w:val="left"/>
              <w:rPr>
                <w:rFonts w:ascii="方正仿宋简体" w:eastAsia="方正仿宋简体"/>
                <w:sz w:val="24"/>
                <w:szCs w:val="24"/>
              </w:rPr>
            </w:pPr>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4A27BD">
            <w:pPr>
              <w:spacing w:beforeLines="20" w:afterLines="20"/>
              <w:jc w:val="center"/>
              <w:rPr>
                <w:rFonts w:ascii="方正仿宋简体" w:eastAsia="方正仿宋简体"/>
                <w:sz w:val="24"/>
                <w:szCs w:val="24"/>
              </w:rPr>
            </w:pPr>
          </w:p>
        </w:tc>
        <w:tc>
          <w:tcPr>
            <w:tcW w:w="2693"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1.期末产品最后一个市场交易日资产净值</w:t>
            </w:r>
          </w:p>
        </w:tc>
        <w:tc>
          <w:tcPr>
            <w:tcW w:w="2410"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A20002</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8,721,364,497.70</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497C69">
        <w:trPr>
          <w:trHeight w:val="565"/>
          <w:jc w:val="center"/>
        </w:trPr>
        <w:tc>
          <w:tcPr>
            <w:tcW w:w="1838" w:type="dxa"/>
            <w:vAlign w:val="center"/>
          </w:tcPr>
          <w:p w:rsidR="00497C69" w:rsidRDefault="00497C69" w:rsidP="004A27BD">
            <w:pPr>
              <w:spacing w:beforeLines="20" w:afterLines="20"/>
              <w:jc w:val="center"/>
              <w:textAlignment w:val="center"/>
              <w:rPr>
                <w:rFonts w:ascii="方正仿宋简体" w:eastAsia="方正仿宋简体" w:hAnsi="方正仿宋简体" w:cs="方正仿宋简体"/>
                <w:sz w:val="24"/>
              </w:rPr>
            </w:pPr>
            <w:r w:rsidRPr="00497C69">
              <w:rPr>
                <w:rFonts w:ascii="方正仿宋简体" w:eastAsia="方正仿宋简体" w:hAnsi="方正仿宋简体" w:cs="方正仿宋简体"/>
                <w:sz w:val="24"/>
              </w:rPr>
              <w:lastRenderedPageBreak/>
              <w:t>A21002</w:t>
            </w:r>
          </w:p>
        </w:tc>
        <w:tc>
          <w:tcPr>
            <w:tcW w:w="2693" w:type="dxa"/>
            <w:vAlign w:val="center"/>
          </w:tcPr>
          <w:p w:rsidR="00497C69" w:rsidRDefault="00497C69" w:rsidP="004A27BD">
            <w:pPr>
              <w:spacing w:beforeLines="20" w:afterLines="20"/>
              <w:jc w:val="center"/>
              <w:textAlignment w:val="center"/>
              <w:rPr>
                <w:rFonts w:ascii="方正仿宋简体" w:eastAsia="方正仿宋简体" w:hAnsi="方正仿宋简体" w:cs="方正仿宋简体"/>
                <w:sz w:val="24"/>
              </w:rPr>
            </w:pPr>
            <w:r w:rsidRPr="00497C69">
              <w:rPr>
                <w:rFonts w:ascii="方正仿宋简体" w:eastAsia="方正仿宋简体" w:hAnsi="方正仿宋简体" w:cs="方正仿宋简体"/>
                <w:sz w:val="24"/>
              </w:rPr>
              <w:t>332</w:t>
            </w:r>
            <w:r>
              <w:rPr>
                <w:rFonts w:ascii="方正仿宋简体" w:eastAsia="方正仿宋简体" w:hAnsi="方正仿宋简体" w:cs="方正仿宋简体" w:hint="eastAsia"/>
                <w:sz w:val="24"/>
              </w:rPr>
              <w:t>,</w:t>
            </w:r>
            <w:r w:rsidRPr="00497C69">
              <w:rPr>
                <w:rFonts w:ascii="方正仿宋简体" w:eastAsia="方正仿宋简体" w:hAnsi="方正仿宋简体" w:cs="方正仿宋简体"/>
                <w:sz w:val="24"/>
              </w:rPr>
              <w:t>791.22</w:t>
            </w:r>
          </w:p>
        </w:tc>
        <w:tc>
          <w:tcPr>
            <w:tcW w:w="2410" w:type="dxa"/>
            <w:vAlign w:val="center"/>
          </w:tcPr>
          <w:p w:rsidR="00497C69" w:rsidRDefault="00497C69"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497C69" w:rsidRDefault="00497C69"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A22001</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1,990,224,757.93</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A22002</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11,159,642,427.17</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A22004</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1,684,917,877.65</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A22005</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1,279,729,368.86</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A22006</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35,046,387.13</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A22007</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232,080,212.14</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A22008</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286,238,972.28</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CE52E1">
        <w:trPr>
          <w:trHeight w:val="565"/>
          <w:jc w:val="center"/>
        </w:trPr>
        <w:tc>
          <w:tcPr>
            <w:tcW w:w="183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A22009</w:t>
            </w:r>
          </w:p>
        </w:tc>
        <w:tc>
          <w:tcPr>
            <w:tcW w:w="269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13,510,927.31</w:t>
            </w:r>
          </w:p>
        </w:tc>
        <w:tc>
          <w:tcPr>
            <w:tcW w:w="241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2023年三季度期间，一系列房地产政策出台并进入落地期，部分地区市场表现出现一定改善，但整体效果仍有待观察，基本面整体呈现出经济数据偏弱、政策力度较强的特征。8月下旬央行降息，打开利率下行空间，但进入9月以来资金面持续偏紧，降准后也未见缓解，债市出现一定调整。债市收益率呈现先下后上的状态，10年期国债收益率从7月初的2.64%降至8月下旬2.54%的低点，此后逐步回升至2.65%以上。三季度信用债供给相对较多，需求端理财规模整体稳步回升，预计后续信用债配置需求仍较为旺盛。</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展望后市，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同时也要关注四季度理财规模增长能否对信用债走势起到支撑作用。短端确定性依然相对较高，策略上保持适度杠杆套息操作，把握配置和交易机会。</w:t>
      </w:r>
      <w:r>
        <w:rPr>
          <w:rFonts w:ascii="方正仿宋简体" w:eastAsia="方正仿宋简体" w:hint="eastAsia"/>
          <w:sz w:val="24"/>
          <w:szCs w:val="24"/>
        </w:rPr>
        <w:br w:type="textWrapping" w:clear="all"/>
        <w:t>  操作方面，产品延续了稳健的投资风格，持续提高利率债、存单和活期存款等高流动性资产配置，并根据资金利率水平灵活使用杠杆，未来拟继续坚持流动性，兼顾收益性的目标进行操作，保证流动性安全、信用风险可控的基础上为客户提供稳定的收益回报。</w:t>
      </w:r>
      <w:r>
        <w:rPr>
          <w:rFonts w:ascii="方正仿宋简体" w:eastAsia="方正仿宋简体" w:hint="eastAsia"/>
          <w:sz w:val="24"/>
          <w:szCs w:val="24"/>
        </w:rPr>
        <w:br w:type="textWrapping" w:clear="all"/>
        <w:t>  2023年三季度期间，一系列房地产政策出台并进入落地期，部分地区市场表现出现一定改善，但整体效果仍有待观察，基本面整体呈现出经济数据偏弱、政策力度较强的特征。8月下旬央行降息，打开利率下行空间，但进入9月以来资金面持续偏紧，降准后也未见缓解，债市出现一定调整。债市收益率呈现先下后上的状态，10年期国债收益率从7月初的2.64%降至8月下旬2.54%的低点，此后逐步回升至2.65%以上。三季度信用债供给相对较多，需求端理财规模整体稳步回升，预计后续信用债配置需求仍较为旺盛。</w:t>
      </w:r>
      <w:r>
        <w:rPr>
          <w:rFonts w:ascii="方正仿宋简体" w:eastAsia="方正仿宋简体" w:hint="eastAsia"/>
          <w:sz w:val="24"/>
          <w:szCs w:val="24"/>
        </w:rPr>
        <w:br w:type="textWrapping" w:clear="all"/>
        <w:t>  展望后市，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同时也要关注四季度理财规模增长能否对信用债走势起到支撑作用。短端确定性依然相对较高，策略上保持适度杠杆套息操作，把握配置和交易机会。</w:t>
      </w:r>
      <w:r>
        <w:rPr>
          <w:rFonts w:ascii="方正仿宋简体" w:eastAsia="方正仿宋简体" w:hint="eastAsia"/>
          <w:sz w:val="24"/>
          <w:szCs w:val="24"/>
        </w:rPr>
        <w:br w:type="textWrapping" w:clear="all"/>
        <w:t>  操作方面，产品延续了稳健的投资风格，持续提高利率债、存单和活期存款等高流</w:t>
      </w:r>
      <w:r>
        <w:rPr>
          <w:rFonts w:ascii="方正仿宋简体" w:eastAsia="方正仿宋简体" w:hint="eastAsia"/>
          <w:sz w:val="24"/>
          <w:szCs w:val="24"/>
        </w:rPr>
        <w:lastRenderedPageBreak/>
        <w:t>动性资产配置，并根据资金利率水平灵活使用杠杆，未来拟继续坚持流动性，兼顾收益性的目标进行操作，保证流动性安全、信用风险可控的基础上为客户提供稳定的收益回报。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t>
      </w:r>
      <w:r w:rsidRPr="00B0184E">
        <w:rPr>
          <w:rFonts w:ascii="方正仿宋简体" w:eastAsia="方正仿宋简体"/>
          <w:sz w:val="24"/>
          <w:szCs w:val="24"/>
        </w:rPr>
        <w:t>短期内货币政策保驾护航作用不变，本产品将主动控制久期，适当使用杠杆，关注节点资金波动情况，做好流动性预判和资产的到期分布安排，防范流动性风险。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截至报告期末，本产品A20002份额净值为1.0000元，</w:t>
      </w:r>
      <w:r w:rsidR="004A27BD" w:rsidRPr="00B0184E">
        <w:rPr>
          <w:rFonts w:ascii="方正仿宋简体" w:eastAsia="方正仿宋简体" w:hint="eastAsia"/>
          <w:sz w:val="24"/>
          <w:szCs w:val="24"/>
        </w:rPr>
        <w:t>A2</w:t>
      </w:r>
      <w:r w:rsidR="004A27BD">
        <w:rPr>
          <w:rFonts w:ascii="方正仿宋简体" w:eastAsia="方正仿宋简体" w:hint="eastAsia"/>
          <w:sz w:val="24"/>
          <w:szCs w:val="24"/>
        </w:rPr>
        <w:t>1</w:t>
      </w:r>
      <w:r w:rsidR="004A27BD" w:rsidRPr="00B0184E">
        <w:rPr>
          <w:rFonts w:ascii="方正仿宋简体" w:eastAsia="方正仿宋简体" w:hint="eastAsia"/>
          <w:sz w:val="24"/>
          <w:szCs w:val="24"/>
        </w:rPr>
        <w:t>002份额净值为1.0000元，</w:t>
      </w:r>
      <w:r w:rsidRPr="00B0184E">
        <w:rPr>
          <w:rFonts w:ascii="方正仿宋简体" w:eastAsia="方正仿宋简体" w:hint="eastAsia"/>
          <w:sz w:val="24"/>
          <w:szCs w:val="24"/>
        </w:rPr>
        <w:t>A22001份额净值为1.0000元，A22002份额净值为1.0000元，A22004份额净值为1.0000元，A22005份额净值为1.0000元，A22006份额净值为1.0000元，A22007份额净值为1.0000元，A22008份额净值为1.0000元，A22009份额净值为1.0000元。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穿透前占总资产比例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100.00%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ZJQTT202308180021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中粮信托鼎兴1号集合资金信托计划</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1,281,756,333.61</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5.05</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XJCKX202308150001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恒丰银行约期存款20230815</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3.94</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XJCKX202309190001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浦发银行约期存款20230919</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XJCKX202308110001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浦发银行约期存款20230811</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XJCKX202307120001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兴业银行约期存款20230712</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XJCKX202308020002</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浦发银行约期存款20230802</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XJCKX202308090001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浦发银行约期存款20230809</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230406</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23农发06</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499,991,758.27</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ZJQTT202305230001</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华润信托鑫瑞日享1号集合资金信托计划</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399,779,899.61</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1.57</w:t>
            </w:r>
          </w:p>
        </w:tc>
      </w:tr>
      <w:tr w:rsidR="00CE52E1">
        <w:trPr>
          <w:trHeight w:val="583"/>
          <w:jc w:val="center"/>
        </w:trPr>
        <w:tc>
          <w:tcPr>
            <w:tcW w:w="751"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5" w:type="dxa"/>
            <w:shd w:val="clear" w:color="auto" w:fill="auto"/>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112315345</w:t>
            </w:r>
          </w:p>
        </w:tc>
        <w:tc>
          <w:tcPr>
            <w:tcW w:w="2720"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23民生银行CD345</w:t>
            </w:r>
          </w:p>
        </w:tc>
        <w:tc>
          <w:tcPr>
            <w:tcW w:w="2058"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392,260,905.84</w:t>
            </w:r>
          </w:p>
        </w:tc>
        <w:tc>
          <w:tcPr>
            <w:tcW w:w="1812" w:type="dxa"/>
            <w:shd w:val="clear" w:color="000000" w:fill="FFFFFF"/>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lastRenderedPageBreak/>
              <w:t>序号</w:t>
            </w:r>
          </w:p>
        </w:tc>
        <w:tc>
          <w:tcPr>
            <w:tcW w:w="1704"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rsidR="00CE52E1">
        <w:trPr>
          <w:trHeight w:val="571"/>
          <w:jc w:val="center"/>
        </w:trPr>
        <w:tc>
          <w:tcPr>
            <w:tcW w:w="877"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4A27BD">
            <w:pPr>
              <w:spacing w:beforeLines="20" w:afterLines="20"/>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rsidR="00CE52E1">
        <w:trPr>
          <w:trHeight w:val="584"/>
          <w:jc w:val="center"/>
        </w:trPr>
        <w:tc>
          <w:tcPr>
            <w:tcW w:w="846"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0120080000000329</w:t>
            </w:r>
          </w:p>
        </w:tc>
        <w:tc>
          <w:tcPr>
            <w:tcW w:w="1983"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南京银行日日聚宝</w:t>
            </w:r>
          </w:p>
        </w:tc>
        <w:tc>
          <w:tcPr>
            <w:tcW w:w="1988" w:type="dxa"/>
            <w:vAlign w:val="center"/>
          </w:tcPr>
          <w:p w:rsidR="00CE52E1" w:rsidRDefault="00852C30" w:rsidP="004A27B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报告期内，产品投资于关联方发行的证券、关联方作为融资人的非标准化债权类资产业务交易金额250,022,923.51元。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产品投资于关联方承销的证券交易金额1,285,120,759.64元。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产品与关联方作为交易对手开展的投融资业务交易金额240,377,194.52元。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支付关联方托管费1,470,352.59</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4,062,422.16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ACB" w:rsidRDefault="00315ACB">
      <w:pPr>
        <w:spacing w:after="72"/>
      </w:pPr>
      <w:r>
        <w:separator/>
      </w:r>
    </w:p>
  </w:endnote>
  <w:endnote w:type="continuationSeparator" w:id="1">
    <w:p w:rsidR="00315ACB" w:rsidRDefault="00315AC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9666F4">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B31DA4">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B31DA4">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ACB" w:rsidRDefault="00315ACB">
      <w:pPr>
        <w:spacing w:after="72"/>
      </w:pPr>
      <w:r>
        <w:separator/>
      </w:r>
    </w:p>
  </w:footnote>
  <w:footnote w:type="continuationSeparator" w:id="1">
    <w:p w:rsidR="00315ACB" w:rsidRDefault="00315AC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B31DA4">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B31DA4">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DA4" w:rsidRDefault="00B31DA4">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15AC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97C69"/>
    <w:rsid w:val="004A27BD"/>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52C30"/>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666F4"/>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E52E1"/>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531</Words>
  <Characters>3028</Characters>
  <Application>Microsoft Office Word</Application>
  <DocSecurity>0</DocSecurity>
  <Lines>25</Lines>
  <Paragraphs>7</Paragraphs>
  <ScaleCrop>false</ScaleCrop>
  <Company>cc</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118</cp:revision>
  <dcterms:created xsi:type="dcterms:W3CDTF">2022-08-03T07:42:00Z</dcterms:created>
  <dcterms:modified xsi:type="dcterms:W3CDTF">2023-10-19T06:21:00Z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