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南银理财珠联璧合理财管理计划2号公募人民币理财产品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南银理财珠联璧合理财管理计划2号公募人民币理财产品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Z7003220000004（投资者可依据该编码在中国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开放式净值型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2015年05月21日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6,528,697,749.30份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粮信托有限责任公司,太平资产管理有限公司,鑫元基金管理有限公司,平安资产管理有限责任公司,泰康资产管理有限责任公司,太平洋资产管理有限责任公司,江苏省国际信托有限责任公司,光大永明资产管理股份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Z10002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4,594,116,951.22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1.3281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2,342,008,277.86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1.0896</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操作上产品保持一定的杠杆水平，精选个券把握票息，适时参与波段交易增厚收益。</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截至报告期末，本产品Z10002份额净值为1.0621元，Z10030份额净值为1.0631元。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太平洋稳健理财三号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585,842,851.49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465,152,763.64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ZJQTT202304250023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太平资产稳赢36号资管产品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401,306,650.11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302,629,529.82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231,294,516.41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215,275,164.89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ZJQTT202302240001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江苏信托鑫盈4号集合资金信托计划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213,683,447.69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151520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19惠开债</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200,001,351.80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XJCKX202309250001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中国银行上海分行活期存款</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190,021,239.89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0120060000000288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南京银行理财管理计划2号</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产品投资关联方作为管理人的资产管理产品交易金额100,000,000.00元。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支付关联方托管费324,862.49</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3,704,170.85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