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南银理财珠联璧合鑫逸稳一年118期封闭式公募人民币理财产品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南银理财珠联璧合鑫逸稳一年118期封闭式公募人民币理财产品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Z7003223000104（投资者可依据该编码在中国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2023年06月07日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984,922,032.00份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云南国际信托有限公司,鑫元基金管理有限公司,中国对外经济贸易信托有限公司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Y30118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121,955,485.50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Y31118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368,262,164.87</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1.0139</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Y32118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316,118,802.38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1.0142</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Y33118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192,514,372.74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1.0145</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截至报告期末，本产品Y30118份额净值为1.0136元，Y31118份额净值为1.0140元，Y32118份额净值为1.0143元，Y33118份额净值为1.0146元。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262,837,002.04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26.31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253,689,855.35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25.40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XTDKX202306250002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云南信托-至善1141-2号集合资金信托计划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202,040,000.00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20.23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23881352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23镇江风旅01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23881460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23平陵建投01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66,000,000.00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6.61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23881563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23淮安国联11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23881454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23淮安交控06</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35,000,000.00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3.50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23881462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23嵊州交通05</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0.90</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嵊州市交通投资发展集团有限公司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23嵊州交通05</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镇江市风景旅游发展有限责任公司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23镇江风旅01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江苏平陵建设投资集团有限公司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23平陵建投01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272</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淮安市交通控股集团有限公司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23淮安交控06</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272</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云南信托-至善1141-2号集合资金信托计划</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淮安市国有联合投资发展集团有限公司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23淮安国联11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276</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0120040000001180</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南银理财鑫逸稳一年118期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36,143.72</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