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南银理财珠联璧合鑫逸稳一年120期封闭式公募人民币理财产品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南银理财珠联璧合鑫逸稳一年120期封闭式公募人民币理财产品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Z7003223000112（投资者可依据该编码在中国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828,949,149.00份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186,064,446.48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232,007,130.25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281,987,431.78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137,990,390.70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截至报告期末，本产品Y30120份额净值为1.0107元，Y31120份额净值为1.0110元，Y32120份额净值为1.0112元，Y33120份额净值为1.0115元。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ZJQTT202202230001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鑫元基金-鑫安利得59号集合资产管理计划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265,203,135.79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162,215,259.01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23881454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23881606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23溧水经开01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23881460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23平陵建投01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8.83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鑫元基金-鑫安利得63号集合资产管理计划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2,011,600.00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0.24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淮安市交通控股集团有限公司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江苏平陵建设投资集团有限公司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23平陵建投01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淮安市国有联合投资发展集团有限公司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南京溧水经济技术开发集团有限公司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23溧水经开01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0101060000000572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产品投资于关联方承销的证券交易金额94,000,000.00元。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12,587.39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