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Z7003223000043（投资者可依据该编码在中国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2023年03月15日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466,446,458.00份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29,306,885.82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188,804,425.70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261,419,225.32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截至报告期末，本产品Y60014份额净值为1.0273元，Y61014份额净值为1.0279元，Y62014份额净值为1.0284元。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23880635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29.82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128,385,287.77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26.77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122,095,219.51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25.46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淮安市盱眙城市资产经营有限责任公司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江苏洪泽湖建设投资集团有限公司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0120070000001089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102,205.73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