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
      </w:r>
      <w:proofErr w:type="spellStart"/>
      <w:r w:rsidRPr="00B0184E">
        <w:rPr>
          <w:rFonts w:ascii="方正黑体简体" w:eastAsia="方正黑体简体" w:hAnsi="Calibri" w:hint="eastAsia"/>
          <w:sz w:val="36"/>
        </w:rPr>
        <w:t/>
      </w:r>
      <w:proofErr w:type="spellEnd"/>
      <w:r w:rsidRPr="00B0184E">
        <w:rPr>
          <w:rFonts w:ascii="方正黑体简体" w:eastAsia="方正黑体简体" w:hAnsi="Calibri" w:hint="eastAsia"/>
          <w:sz w:val="36"/>
        </w:rPr>
        <w:t>南银理财珠联璧合鑫逸稳两年18期封闭式公募人民币理财产品</w:t>
      </w: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2023年第</w:t>
      </w:r>
      <w:r w:rsidR="00E80B2A" w:rsidRPr="00B0184E">
        <w:rPr>
          <w:rFonts w:ascii="方正黑体简体" w:eastAsia="方正黑体简体" w:hAnsi="Calibri" w:hint="eastAsia"/>
          <w:sz w:val="36"/>
        </w:rPr>
        <w:t>3</w:t>
      </w:r>
      <w:r w:rsidRPr="00B0184E">
        <w:rPr>
          <w:rFonts w:ascii="方正黑体简体" w:eastAsia="方正黑体简体" w:hAnsi="Calibri" w:hint="eastAsia"/>
          <w:sz w:val="36"/>
        </w:rPr>
        <w:t>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产品管理人:南银理财有限责任公司</w:t>
      </w: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lastRenderedPageBreak/>
        <w:t>§1 产品概况</w:t>
      </w:r>
    </w:p>
    <w:tbl>
      <w:tblPr>
        <w:tblpPr w:leftFromText="180" w:rightFromText="180" w:vertAnchor="text"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719"/>
        <w:gridCol w:w="6178"/>
      </w:tblGrid>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产品全称</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南银理财珠联璧合鑫逸稳两年18期封闭式公募人民币理财产品</w:t>
            </w:r>
          </w:p>
        </w:tc>
      </w:tr>
      <w:tr w:rsidR="00B31DA4" w:rsidTr="0031044B">
        <w:trPr>
          <w:trHeight w:val="1300"/>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产品登记编码</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Z7003223000069（投资者可依据该编码在中国</w:t>
            </w:r>
            <w:proofErr w:type="gramStart"/>
            <w:r w:rsidRPr="00B0184E">
              <w:rPr>
                <w:rFonts w:ascii="方正仿宋简体" w:eastAsia="方正仿宋简体" w:hint="eastAsia"/>
                <w:sz w:val="24"/>
                <w:szCs w:val="24"/>
              </w:rPr>
              <w:t>理财网</w:t>
            </w:r>
            <w:proofErr w:type="gramEnd"/>
            <w:r w:rsidRPr="00B0184E">
              <w:rPr>
                <w:rFonts w:ascii="方正仿宋简体" w:eastAsia="方正仿宋简体" w:hint="eastAsia"/>
                <w:sz w:val="24"/>
                <w:szCs w:val="24"/>
              </w:rPr>
              <w:t>www.chinawealth.com.cn查询理财产品相关信息）</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产品运作方式</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封闭式净值型</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产品成立日</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2023年04月12日</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报告期末产品份额总额</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223,744,184.00份</w:t>
            </w:r>
          </w:p>
        </w:tc>
      </w:tr>
      <w:tr w:rsidR="00B31DA4" w:rsidTr="0031044B">
        <w:trPr>
          <w:trHeight w:val="688"/>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合作机构</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国联基金管理有限公司,中国对外经济贸易信托有限公司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产品管理人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产品托管人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§2  主要财务指标</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2.1 主要财务指标</w:t>
      </w:r>
    </w:p>
    <w:p w:rsidR="00B31DA4" w:rsidRPr="00B0184E" w:rsidRDefault="007816A9" w:rsidP="00675A8D">
      <w:pPr>
        <w:spacing w:before="240" w:after="72" w:line="360" w:lineRule="auto"/>
        <w:jc w:val="right"/>
        <w:rPr>
          <w:rFonts w:ascii="方正仿宋简体" w:eastAsia="方正仿宋简体"/>
          <w:sz w:val="24"/>
          <w:szCs w:val="24"/>
        </w:rPr>
      </w:pPr>
      <w:r w:rsidRPr="00B0184E">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838"/>
        <w:gridCol w:w="2693"/>
        <w:gridCol w:w="2410"/>
        <w:gridCol w:w="2126"/>
      </w:tblGrid>
      <w:tr w:rsidR="00B31DA4" w:rsidRPr="00B0184E" w:rsidTr="00E2696A">
        <w:trPr>
          <w:trHeight w:val="699"/>
          <w:jc w:val="center"/>
        </w:trPr>
        <w:tc>
          <w:tcPr>
            <w:tcW w:w="1838" w:type="dxa"/>
            <w:vMerge w:val="restart"/>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内部销售代码</w:t>
            </w:r>
          </w:p>
        </w:tc>
        <w:tc>
          <w:tcPr>
            <w:tcW w:w="7229" w:type="dxa"/>
            <w:gridSpan w:val="3"/>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报告期（2023年07月01日 - 2023年09月30日）</w:t>
            </w:r>
          </w:p>
        </w:tc>
      </w:tr>
      <w:tr w:rsidR="00B31DA4" w:rsidRPr="00B0184E" w:rsidTr="00E2696A">
        <w:trPr>
          <w:trHeight w:val="1697"/>
          <w:jc w:val="center"/>
        </w:trPr>
        <w:tc>
          <w:tcPr>
            <w:tcW w:w="1838" w:type="dxa"/>
            <w:vMerge/>
            <w:vAlign w:val="center"/>
          </w:tcPr>
          <w:p w:rsidR="00B31DA4" w:rsidRPr="00B0184E" w:rsidRDefault="00B31DA4" w:rsidP="00E80B2A">
            <w:pPr>
              <w:spacing w:beforeLines="20" w:before="48" w:afterLines="20" w:after="48"/>
              <w:jc w:val="center"/>
              <w:rPr>
                <w:rFonts w:ascii="方正仿宋简体" w:eastAsia="方正仿宋简体"/>
                <w:sz w:val="24"/>
                <w:szCs w:val="24"/>
              </w:rPr>
            </w:pPr>
          </w:p>
        </w:tc>
        <w:tc>
          <w:tcPr>
            <w:tcW w:w="269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1.期末产品最后一个市场交易</w:t>
            </w:r>
            <w:proofErr w:type="gramStart"/>
            <w:r w:rsidRPr="00B0184E">
              <w:rPr>
                <w:rFonts w:ascii="方正仿宋简体" w:eastAsia="方正仿宋简体" w:hint="eastAsia"/>
                <w:sz w:val="24"/>
                <w:szCs w:val="24"/>
              </w:rPr>
              <w:t>日资产</w:t>
            </w:r>
            <w:proofErr w:type="gramEnd"/>
            <w:r w:rsidRPr="00B0184E">
              <w:rPr>
                <w:rFonts w:ascii="方正仿宋简体" w:eastAsia="方正仿宋简体" w:hint="eastAsia"/>
                <w:sz w:val="24"/>
                <w:szCs w:val="24"/>
              </w:rPr>
              <w:t>净值</w:t>
            </w:r>
          </w:p>
        </w:tc>
        <w:tc>
          <w:tcPr>
            <w:tcW w:w="241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2.期末产品最后一个市场交易日份额净值</w:t>
            </w:r>
          </w:p>
        </w:tc>
        <w:tc>
          <w:tcPr>
            <w:tcW w:w="212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3.期末产品最后一个市场交易日份额累计净值</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Y60018</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56,832,190.07</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1.0218</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1.0218</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Y61018</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66,907,563.89</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1.0223</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1.0223</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Y62018</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105,021,442.14</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1.0227</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1.0227</w:t>
            </w:r>
          </w:p>
        </w:tc>
      </w:tr>
    </w:tbl>
    <w:p w:rsidR="00B31DA4" w:rsidRPr="00B0184E" w:rsidRDefault="007816A9" w:rsidP="00675A8D">
      <w:pPr>
        <w:pStyle w:val="biaogeleft"/>
        <w:spacing w:before="240" w:after="72" w:line="360" w:lineRule="auto"/>
        <w:ind w:left="0"/>
        <w:rPr>
          <w:rFonts w:ascii="方正仿宋简体" w:eastAsia="方正仿宋简体" w:hAnsi="Times New Roman" w:cs="Times New Roman"/>
          <w:kern w:val="2"/>
        </w:rPr>
      </w:pPr>
      <w:r w:rsidRPr="00B0184E">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§3  管理人报告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3.1 报告期内产品的投资策略和运作分析</w:t>
      </w:r>
    </w:p>
    <w:p w:rsidR="00B31DA4" w:rsidRPr="00B0184E" w:rsidRDefault="007816A9" w:rsidP="00675A8D">
      <w:pPr>
        <w:spacing w:before="240" w:after="72" w:line="360" w:lineRule="auto"/>
        <w:rPr>
          <w:rFonts w:ascii="方正仿宋简体" w:eastAsia="方正仿宋简体"/>
          <w:sz w:val="24"/>
          <w:szCs w:val="24"/>
        </w:rPr>
      </w:pPr>
      <w:r>
        <w:rPr>
          <w:rFonts w:ascii="方正仿宋简体" w:eastAsia="方正仿宋简体" w:hint="eastAsia"/>
          <w:sz w:val="24"/>
          <w:szCs w:val="24"/>
        </w:rPr>
        <w:t>  三季度期间自7月底高层会议定调“适时调整优化房地产政策”后，一系列房地产政策出台并进入落地期，部分地区市场表现出现一定改善，但整体效果仍有待观察，基本面整体呈现出经济数据偏弱、政策力度较强的特征。8月下旬央行降息，打开利率下行空间，但9 月以来资金面持续偏紧，降准后也未见缓解，债市出现一定调整。三季度期间债市收益率基本呈现先下后上的状态，10年期国债收益率从7月初的2.64%降至8月下旬2.54%的低点，此后逐步回升至2.65%以上。信用债市场方面，三季度信用债供给相对较多，需求端理财规模整体稳步回升，信用债跟随利率债先下后上，预计后续信用债配置需求仍较为旺盛，走势料将偏强。</w:t>
        <w:br w:type="textWrapping" w:clear="all"/>
      </w:r>
      <w:r>
        <w:rPr>
          <w:rFonts w:ascii="方正仿宋简体" w:eastAsia="方正仿宋简体" w:hint="eastAsia"/>
          <w:sz w:val="24"/>
          <w:szCs w:val="24"/>
        </w:rPr>
        <w:t>  往后看，当前基本面阶段性触底或是较为确定，但经济回暖的弹性和持续性仍有待确认，经济偏弱格局未有明显改变，而且跨过季末时点，紧资金的压力将有所缓释，叠加宽货币预期的升温，债市大概率将企稳向好，预计为震荡偏强格局，债市仍有博弈机会，策略上积极把握信用债票息价值，精选个券把握票息，适时参与波段交易增厚收益。</w:t>
        <w:br w:type="textWrapping" w:clear="all"/>
      </w:r>
      <w:r>
        <w:rPr>
          <w:rFonts w:ascii="方正仿宋简体" w:eastAsia="方正仿宋简体" w:hint="eastAsia"/>
          <w:sz w:val="24"/>
          <w:szCs w:val="24"/>
        </w:rPr>
        <w:t>  鑫逸稳两年期封闭式产品，负债端期限较长，今年三季度产品操作稳健略偏积极，在控制产品回撤幅度的前提下，于市场波动中把握债券估值性价比较高的时点，积极寻找个券配置机会，提升组合静态。同时，在资金宽松的阶段适当运用杠杆增厚收益，在资金边际收敛过程中逐步回归中性安全的杠杆水平。市场机会把握方面，积极关注优质信用债、中长期利率品、银行资本补充工具的投资机会，以期为组合提供票息及资本利得等回报。下一阶段，产品将继续围绕稳健回报的收益目标进行操作，审慎精选票息品种，久期维持中性水平，及时做好市场走势的跟踪与研判，挖掘潜在投资机会。</w:t>
      </w: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3.2 报告期内产品的流动性风险分析</w:t>
      </w:r>
    </w:p>
    <w:p w:rsidR="00B31DA4" w:rsidRPr="00B0184E" w:rsidRDefault="007816A9" w:rsidP="00675A8D">
      <w:pPr>
        <w:spacing w:before="240" w:after="72" w:line="360" w:lineRule="auto"/>
        <w:rPr>
          <w:rFonts w:ascii="方正仿宋简体" w:eastAsia="方正仿宋简体"/>
          <w:sz w:val="24"/>
          <w:szCs w:val="24"/>
        </w:rPr>
      </w:pPr>
      <w:r w:rsidRPr="00B0184E">
        <w:rPr>
          <w:rFonts w:ascii="方正仿宋简体" w:eastAsia="方正仿宋简体"/>
          <w:sz w:val="24"/>
          <w:szCs w:val="24"/>
        </w:rPr>
        <w:t/>
      </w:r>
      <w:proofErr w:type="spellStart"/>
      <w:r w:rsidRPr="00B0184E">
        <w:rPr>
          <w:rFonts w:ascii="方正仿宋简体" w:eastAsia="方正仿宋简体"/>
          <w:sz w:val="24"/>
          <w:szCs w:val="24"/>
        </w:rPr>
        <w:t/>
      </w:r>
      <w:proofErr w:type="spellEnd"/>
      <w:r w:rsidRPr="00B0184E">
        <w:rPr>
          <w:rFonts w:ascii="方正仿宋简体" w:eastAsia="方正仿宋简体"/>
          <w:sz w:val="24"/>
          <w:szCs w:val="24"/>
        </w:rPr>
        <w:t>  今年三季度以来，资金环境整体维持平稳，8月中旬至9月资金成本边际抬升，产品保留了合理的流动性资产仓位以应对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3.3 报告期内产品的业绩表现</w:t>
      </w:r>
    </w:p>
    <w:p w:rsidR="00B31DA4" w:rsidRPr="00B0184E" w:rsidRDefault="007816A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截至报告期末，本产品Y60018份额净值为1.0219元，Y61018份额净值为1.0224元，Y62018份额净值为1.0229元。</w:t>
      </w:r>
    </w:p>
    <w:p w:rsidR="00B31DA4" w:rsidRDefault="00B31DA4" w:rsidP="00675A8D">
      <w:pPr>
        <w:spacing w:before="240" w:after="72" w:line="360" w:lineRule="auto"/>
        <w:rPr>
          <w:rFonts w:ascii="方正仿宋_GBK" w:eastAsia="方正仿宋_GBK" w:hAnsi="宋体"/>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§4  投资组合报告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45"/>
        <w:gridCol w:w="1859"/>
        <w:gridCol w:w="3002"/>
        <w:gridCol w:w="3289"/>
      </w:tblGrid>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proofErr w:type="gramStart"/>
            <w:r w:rsidRPr="00B0184E">
              <w:rPr>
                <w:rFonts w:ascii="方正仿宋简体" w:eastAsia="方正仿宋简体" w:hint="eastAsia"/>
                <w:sz w:val="24"/>
                <w:szCs w:val="24"/>
              </w:rPr>
              <w:t>穿透前占总</w:t>
            </w:r>
            <w:proofErr w:type="gramEnd"/>
            <w:r w:rsidRPr="00B0184E">
              <w:rPr>
                <w:rFonts w:ascii="方正仿宋简体" w:eastAsia="方正仿宋简体"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穿透后占总资产比例</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58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代码</w:t>
            </w:r>
          </w:p>
        </w:tc>
        <w:tc>
          <w:tcPr>
            <w:tcW w:w="272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名称</w:t>
            </w:r>
          </w:p>
        </w:tc>
        <w:tc>
          <w:tcPr>
            <w:tcW w:w="2058"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公允价值（元）</w:t>
            </w:r>
          </w:p>
        </w:tc>
        <w:tc>
          <w:tcPr>
            <w:tcW w:w="1812"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占产品资产净值比例（％）</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23881005</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23镇江城建04</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43.71</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ZJQTT202302210001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外贸信托-鑫华优享2号证券投资集合资金信托计划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68,439,946.43</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29.91</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ZZGJT202007150001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国联基金-鑫福1号集合资产管理计划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56,526,028.36</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24.71</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704"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融资客户</w:t>
            </w:r>
          </w:p>
        </w:tc>
        <w:tc>
          <w:tcPr>
            <w:tcW w:w="127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项目名称</w:t>
            </w:r>
          </w:p>
        </w:tc>
        <w:tc>
          <w:tcPr>
            <w:tcW w:w="154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剩余融资期限（</w:t>
            </w:r>
            <w:r w:rsidRPr="00B0184E">
              <w:rPr>
                <w:rFonts w:ascii="方正仿宋简体" w:eastAsia="方正仿宋简体"/>
                <w:sz w:val="24"/>
                <w:szCs w:val="24"/>
              </w:rPr>
              <w:t>天）</w:t>
            </w:r>
          </w:p>
        </w:tc>
        <w:tc>
          <w:tcPr>
            <w:tcW w:w="138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到期收益分配</w:t>
            </w:r>
          </w:p>
        </w:tc>
        <w:tc>
          <w:tcPr>
            <w:tcW w:w="127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交易结构</w:t>
            </w:r>
          </w:p>
        </w:tc>
        <w:tc>
          <w:tcPr>
            <w:tcW w:w="87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风险状况</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镇江城市建设产业集团有限公司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23镇江城建04</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574</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417"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账户类型</w:t>
            </w:r>
          </w:p>
        </w:tc>
        <w:tc>
          <w:tcPr>
            <w:tcW w:w="266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账号</w:t>
            </w:r>
          </w:p>
        </w:tc>
        <w:tc>
          <w:tcPr>
            <w:tcW w:w="1983"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账户名称</w:t>
            </w:r>
          </w:p>
        </w:tc>
        <w:tc>
          <w:tcPr>
            <w:tcW w:w="198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开户单位</w:t>
            </w:r>
          </w:p>
        </w:tc>
      </w:tr>
      <w:tr>
        <w:trPr>
          <w:trHeight w:val="584"/>
          <w:jc w:val="center"/>
        </w:trPr>
        <w:tc>
          <w:tcPr>
            <w:tcW w:w="84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0120040000001137</w:t>
            </w:r>
          </w:p>
        </w:tc>
        <w:tc>
          <w:tcPr>
            <w:tcW w:w="19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南银理财鑫逸稳两年18期</w:t>
            </w:r>
          </w:p>
        </w:tc>
        <w:tc>
          <w:tcPr>
            <w:tcW w:w="198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rsidR="00B31DA4" w:rsidRDefault="00B31DA4" w:rsidP="0068509B">
      <w:pPr>
        <w:spacing w:afterLines="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bookmarkStart w:id="0" w:name="_GoBack"/>
      <w:r w:rsidRPr="00B0184E">
        <w:rPr>
          <w:rFonts w:ascii="方正仿宋简体" w:eastAsia="方正仿宋简体" w:hint="eastAsia"/>
          <w:b/>
          <w:sz w:val="24"/>
          <w:szCs w:val="24"/>
        </w:rPr>
        <w:t>§6 关联交易情况</w:t>
      </w:r>
    </w:p>
    <w:bookmarkEnd w:id="0"/>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报告期内，产品投资于关联</w:t>
      </w:r>
      <w:proofErr w:type="gramStart"/>
      <w:r w:rsidRPr="00B0184E">
        <w:rPr>
          <w:rFonts w:ascii="方正仿宋简体" w:eastAsia="方正仿宋简体" w:hint="eastAsia"/>
          <w:sz w:val="24"/>
          <w:szCs w:val="24"/>
        </w:rPr>
        <w:t>方发行</w:t>
      </w:r>
      <w:proofErr w:type="gramEnd"/>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的证券、关联方作为融资人的非标准化债权类资产业务交易金额0.00元。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产品投资于关联方承销的证券交易金额0.00元。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产品与关联方作为交易对手开展的投融资业务交易金额0.00元。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产品投资关联方作为管理人的资产管理产品交易金额0.00元。</w:t>
      </w:r>
    </w:p>
    <w:p w:rsidR="004601C9" w:rsidRPr="00B0184E" w:rsidRDefault="00DD2B26"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w:t>
      </w:r>
      <w:r w:rsidR="004601C9" w:rsidRPr="00B0184E">
        <w:rPr>
          <w:rFonts w:ascii="方正仿宋简体" w:eastAsia="方正仿宋简体" w:hint="eastAsia"/>
          <w:sz w:val="24"/>
          <w:szCs w:val="24"/>
        </w:rPr>
        <w:t/>
      </w:r>
      <w:proofErr w:type="spellStart"/>
      <w:r w:rsidR="004601C9" w:rsidRPr="00B0184E">
        <w:rPr>
          <w:rFonts w:ascii="方正仿宋简体" w:eastAsia="方正仿宋简体" w:hint="eastAsia"/>
          <w:sz w:val="24"/>
          <w:szCs w:val="24"/>
        </w:rPr>
        <w:t/>
      </w:r>
      <w:proofErr w:type="spellEnd"/>
      <w:r w:rsidR="004601C9" w:rsidRPr="00B0184E">
        <w:rPr>
          <w:rFonts w:ascii="方正仿宋简体" w:eastAsia="方正仿宋简体" w:hint="eastAsia"/>
          <w:sz w:val="24"/>
          <w:szCs w:val="24"/>
        </w:rPr>
        <w:t>支付关联方托管费0.00</w:t>
      </w:r>
      <w:r w:rsidRPr="00B0184E">
        <w:rPr>
          <w:rFonts w:ascii="方正仿宋简体" w:eastAsia="方正仿宋简体" w:hint="eastAsia"/>
          <w:sz w:val="24"/>
          <w:szCs w:val="24"/>
        </w:rPr>
        <w:t>元，</w:t>
      </w:r>
      <w:r w:rsidR="004601C9" w:rsidRPr="00B0184E">
        <w:rPr>
          <w:rFonts w:ascii="方正仿宋简体" w:eastAsia="方正仿宋简体" w:hint="eastAsia"/>
          <w:sz w:val="24"/>
          <w:szCs w:val="24"/>
        </w:rPr>
        <w:t>支付关联方代销费</w:t>
      </w:r>
      <w:r w:rsidR="00735F94" w:rsidRPr="00B0184E">
        <w:rPr>
          <w:rFonts w:ascii="方正仿宋简体" w:eastAsia="方正仿宋简体" w:hint="eastAsia"/>
          <w:sz w:val="24"/>
          <w:szCs w:val="24"/>
        </w:rPr>
        <w:t/>
      </w:r>
      <w:proofErr w:type="spellStart"/>
      <w:r w:rsidR="00735F94" w:rsidRPr="00B0184E">
        <w:rPr>
          <w:rFonts w:ascii="方正仿宋简体" w:eastAsia="方正仿宋简体" w:hint="eastAsia"/>
          <w:sz w:val="24"/>
          <w:szCs w:val="24"/>
        </w:rPr>
        <w:t/>
      </w:r>
      <w:proofErr w:type="spellEnd"/>
      <w:r w:rsidR="00735F94" w:rsidRPr="00B0184E">
        <w:rPr>
          <w:rFonts w:ascii="方正仿宋简体" w:eastAsia="方正仿宋简体" w:hint="eastAsia"/>
          <w:sz w:val="24"/>
          <w:szCs w:val="24"/>
        </w:rPr>
        <w:t>31,697.18</w:t>
      </w:r>
      <w:r w:rsidR="004601C9" w:rsidRPr="00B0184E">
        <w:rPr>
          <w:rFonts w:ascii="方正仿宋简体" w:eastAsia="方正仿宋简体" w:hint="eastAsia"/>
          <w:sz w:val="24"/>
          <w:szCs w:val="24"/>
        </w:rPr>
        <w:t>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产品发生其他关联交易金额0.00元。</w:t>
      </w:r>
    </w:p>
    <w:p w:rsidR="00B31DA4"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lastRenderedPageBreak/>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南银理财有限责任公司</w:t>
      </w: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2023年09月30日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rsidSect="00FE56A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85D" w:rsidRDefault="00C4285D">
      <w:pPr>
        <w:spacing w:after="72"/>
      </w:pPr>
      <w:r>
        <w:separator/>
      </w:r>
    </w:p>
  </w:endnote>
  <w:endnote w:type="continuationSeparator" w:id="0">
    <w:p w:rsidR="00C4285D" w:rsidRDefault="00C4285D">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D76555">
    <w:pPr>
      <w:pStyle w:val="a3"/>
      <w:framePr w:wrap="around" w:vAnchor="text" w:hAnchor="margin" w:xAlign="center" w:y="1"/>
      <w:spacing w:after="72"/>
      <w:rPr>
        <w:rStyle w:val="a6"/>
      </w:rPr>
    </w:pPr>
    <w:r>
      <w:fldChar w:fldCharType="begin"/>
    </w:r>
    <w:r w:rsidR="007816A9">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85D" w:rsidRDefault="00C4285D">
      <w:pPr>
        <w:spacing w:after="72"/>
      </w:pPr>
      <w:r>
        <w:separator/>
      </w:r>
    </w:p>
  </w:footnote>
  <w:footnote w:type="continuationSeparator" w:id="0">
    <w:p w:rsidR="00C4285D" w:rsidRDefault="00C4285D">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7B713EE-A110-4569-BB15-FC96424C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A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56A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E56A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E56A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E56AA"/>
  </w:style>
  <w:style w:type="character" w:customStyle="1" w:styleId="Char">
    <w:name w:val="页脚 Char"/>
    <w:link w:val="a3"/>
    <w:uiPriority w:val="99"/>
    <w:qFormat/>
    <w:locked/>
    <w:rsid w:val="00FE56AA"/>
    <w:rPr>
      <w:rFonts w:ascii="Times New Roman" w:hAnsi="Times New Roman" w:cs="Times New Roman"/>
      <w:sz w:val="18"/>
      <w:szCs w:val="18"/>
    </w:rPr>
  </w:style>
  <w:style w:type="character" w:customStyle="1" w:styleId="Char1">
    <w:name w:val="页脚 Char1"/>
    <w:basedOn w:val="a0"/>
    <w:uiPriority w:val="99"/>
    <w:semiHidden/>
    <w:qFormat/>
    <w:rsid w:val="00FE56AA"/>
    <w:rPr>
      <w:rFonts w:ascii="Times New Roman" w:eastAsia="宋体" w:hAnsi="Times New Roman" w:cs="Times New Roman"/>
      <w:sz w:val="18"/>
      <w:szCs w:val="18"/>
    </w:rPr>
  </w:style>
  <w:style w:type="paragraph" w:customStyle="1" w:styleId="biaogeleft">
    <w:name w:val="biaoge_left"/>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E56A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E56A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E56A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E56A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E56A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E56A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E56A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E56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315</Words>
  <Characters>1797</Characters>
  <Application>Microsoft Office Word</Application>
  <DocSecurity>0</DocSecurity>
  <Lines>14</Lines>
  <Paragraphs>4</Paragraphs>
  <ScaleCrop>false</ScaleCrop>
  <Company>cc</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2023-06-06T07:37:00Z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