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Z7003223000083（投资者可依据该编码在中国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2023年05月10日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414,974,509.00份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云南国际信托有限公司,国联基金管理有限公司,中国对外经济贸易信托有限公司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94,918,187.99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168,495,748.93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159,002,002.75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截至报告期末，本产品Y60021份额净值为1.0175元，Y61021份额净值为1.0179元，Y62021份额净值为1.0183元。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115,554,818.51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101,948,449.10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23.67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23881338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14.20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40,408,000.00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兴化市城市建设投资有限公司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淮安新城投资开发集团有限公司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0120040000001156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41,364.85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