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南银理财珠联璧合鑫逸稳两年23期封闭式公募人民币理财产品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南银理财珠联璧合鑫逸稳两年23期封闭式公募人民币理财产品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Z7003223000093（投资者可依据该编码在中国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2023年05月24日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356,574,270.00份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云南国际信托有限公司,国联基金管理有限公司,中国对外经济贸易信托有限公司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94,633,128.17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127,535,646.21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140,182,996.44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截至报告期末，本产品Y60023份额净值为1.0158元，Y61023份额净值为1.0162元，Y62023份额净值为1.0166元。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101,644,867.22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28.05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86,451,428.57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23881338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23881441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12.69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44,448,800.00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12.27</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淮安新城投资开发集团有限公司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0120090000001168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南银理财鑫逸稳两年23期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23,559.28</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