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Z7003223000118（投资者可依据该编码在中国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2023年06月20日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264,159,028.00份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70,139,967.58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117,388,928.76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79,760,113.91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截至报告期末，本产品Y60027份额净值为1.0117元，Y61027份额净值为1.0120元，Y62027份额净值为1.0122元。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23881649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77,307,307.39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60,782,144.97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22.74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泰州鑫泰集团有限公司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0101070000000581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产品投资于关联方承销的证券交易金额127,000,000.00元。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3,575.32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