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237,940,180.00份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73,551,058.88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74,132,885.46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92,969,775.84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截至报告期末，本产品Y60028份额净值为1.0113元，Y61028份额净值为1.0115元，Y62028份额净值为1.0118元。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28.25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63,137,718.60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60,256,252.46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淮安经济技术开发区经济发展集团有限公司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0101060000000586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产品投资于关联方承销的证券交易金额115,000,000.00元。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45.12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