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南银理财珠联璧合鑫逸稳半年29期封闭式公募人民币理财产品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南银理财珠联璧合鑫逸稳半年29期封闭式公募人民币理财产品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Z7003223000105（投资者可依据该编码在中国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2023年06月14日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346,086,534.00份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云南国际信托有限公司,鑫元基金管理有限公司,江苏省国际信托有限责任公司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Y70029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65,968,185.88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1.0141</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Y71029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65,527,239.46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1.0144</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Y72029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139,507,988.37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Y73029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80,158,341.83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1.0150</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2023年上半年，在经济内生需求不足、政策面托而不举、资金面稳定宽松的背景下，债市先跌后涨，整体走强，10年期国债收益率从年初的2.84%下行到2.64%，市场交易重心逐步从强预期转为弱现实。由于上半年信用债供给偏少，理财负债端修复良好，在资产荒行情驱动下，信用债大幅下行，表现好于利率，信用利差整体压缩，收益率曲线趋于平坦化。6月降息后，市场对政策预期再度升温，利率品种波动加大，在资金中枢抬升的带动下，债市一度出现调整。</w:t>
        <w:br w:type="textWrapping" w:clear="all"/>
      </w:r>
      <w:r>
        <w:rPr>
          <w:rFonts w:ascii="方正仿宋简体" w:eastAsia="方正仿宋简体" w:hint="eastAsia"/>
          <w:sz w:val="24"/>
          <w:szCs w:val="24"/>
        </w:rPr>
        <w:t>  展望后市，基本面高频数据仍偏疲弱，刺激政策的出台和效果尚不明朗，需要持续观察。政治局会议之前，若政策预期继续强化，短期内可能对债市有所压制，但中期来看，强刺激的可能性并不算大，稳增长政策出台后，也需要数据验证效果，基本面对债市仍相对有利，加上资金面易松难紧，债市大幅调整的风险可控，预计为偏强震荡市，票息策略仍然占优。不过当前信用债收益率已处于较低水平，信用利差进一步压缩的空间有限，关注理财规模增长是否支撑信用债继续下行。考虑曲线形态较为平坦，中短端确定性相对更高，择机参与交易机会。</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截至报告期末，本产品Y70029份额净值为1.0141元，Y71029份额净值为1.0144元，Y72029份额净值为1.0147元，Y73029份额净值为1.0150元。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XTDKX202306250001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171,581,000.00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48.86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ZJQTT202207200001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江苏信托鑫盈1号集合资金信托计划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95,780,632.95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27.28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ZJQTT202203100001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81,007,361.49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23.07</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云南信托-至善1141号集合资金信托计划</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87</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0120060000001184</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南银理财鑫逸稳半年29期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5,549.99</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