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
      </w:r>
      <w:proofErr w:type="spellStart"/>
      <w:r w:rsidRPr="00B0184E">
        <w:rPr>
          <w:rFonts w:ascii="方正黑体简体" w:eastAsia="方正黑体简体" w:hAnsi="Calibri" w:hint="eastAsia"/>
          <w:sz w:val="36"/>
        </w:rPr>
        <w:t/>
      </w:r>
      <w:proofErr w:type="spellEnd"/>
      <w:r w:rsidRPr="00B0184E">
        <w:rPr>
          <w:rFonts w:ascii="方正黑体简体" w:eastAsia="方正黑体简体" w:hAnsi="Calibri" w:hint="eastAsia"/>
          <w:sz w:val="36"/>
        </w:rPr>
        <w:t>南银理财珠联璧合鑫逸稳增强两年21期封闭式公募人民币理财产品</w:t>
      </w:r>
    </w:p>
    <w:p w:rsidR="00B31DA4" w:rsidRPr="00B0184E" w:rsidRDefault="007816A9" w:rsidP="00675A8D">
      <w:pPr>
        <w:snapToGrid w:val="0"/>
        <w:spacing w:before="240" w:after="72" w:line="360" w:lineRule="auto"/>
        <w:jc w:val="center"/>
        <w:rPr>
          <w:rFonts w:ascii="方正黑体简体" w:eastAsia="方正黑体简体" w:hAnsi="Calibri"/>
          <w:sz w:val="36"/>
        </w:rPr>
      </w:pPr>
      <w:r w:rsidRPr="00B0184E">
        <w:rPr>
          <w:rFonts w:ascii="方正黑体简体" w:eastAsia="方正黑体简体" w:hAnsi="Calibri" w:hint="eastAsia"/>
          <w:sz w:val="36"/>
        </w:rPr>
        <w:t>2023年第</w:t>
      </w:r>
      <w:r w:rsidR="00E80B2A" w:rsidRPr="00B0184E">
        <w:rPr>
          <w:rFonts w:ascii="方正黑体简体" w:eastAsia="方正黑体简体" w:hAnsi="Calibri" w:hint="eastAsia"/>
          <w:sz w:val="36"/>
        </w:rPr>
        <w:t>3</w:t>
      </w:r>
      <w:r w:rsidRPr="00B0184E">
        <w:rPr>
          <w:rFonts w:ascii="方正黑体简体" w:eastAsia="方正黑体简体" w:hAnsi="Calibri" w:hint="eastAsia"/>
          <w:sz w:val="36"/>
        </w:rPr>
        <w:t>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产品管理人:南银理财有限责任公司</w:t>
      </w:r>
    </w:p>
    <w:p w:rsidR="00B31DA4" w:rsidRPr="00B0184E" w:rsidRDefault="007816A9" w:rsidP="00675A8D">
      <w:pPr>
        <w:snapToGrid w:val="0"/>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lastRenderedPageBreak/>
        <w:t>§1 产品概况</w:t>
      </w:r>
    </w:p>
    <w:tbl>
      <w:tblPr>
        <w:tblpPr w:leftFromText="180" w:rightFromText="180" w:vertAnchor="text"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2719"/>
        <w:gridCol w:w="6178"/>
      </w:tblGrid>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产品全称</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南银理财珠联璧合鑫逸稳增强两年21期封闭式公募人民币理财产品</w:t>
            </w:r>
          </w:p>
        </w:tc>
      </w:tr>
      <w:tr w:rsidR="00B31DA4" w:rsidTr="0031044B">
        <w:trPr>
          <w:trHeight w:val="1300"/>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产品登记编码</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Z7003222000064（投资者可依据该编码在中国</w:t>
            </w:r>
            <w:proofErr w:type="gramStart"/>
            <w:r w:rsidRPr="00B0184E">
              <w:rPr>
                <w:rFonts w:ascii="方正仿宋简体" w:eastAsia="方正仿宋简体" w:hint="eastAsia"/>
                <w:sz w:val="24"/>
                <w:szCs w:val="24"/>
              </w:rPr>
              <w:t>理财网</w:t>
            </w:r>
            <w:proofErr w:type="gramEnd"/>
            <w:r w:rsidRPr="00B0184E">
              <w:rPr>
                <w:rFonts w:ascii="方正仿宋简体" w:eastAsia="方正仿宋简体" w:hint="eastAsia"/>
                <w:sz w:val="24"/>
                <w:szCs w:val="24"/>
              </w:rPr>
              <w:t>www.chinawealth.com.cn查询理财产品相关信息）</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产品运作方式</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封闭式净值型</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产品成立日</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2022年10月12日</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报告期末产品份额总额</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296,958,156.00份</w:t>
            </w:r>
          </w:p>
        </w:tc>
      </w:tr>
      <w:tr w:rsidR="00B31DA4" w:rsidTr="0031044B">
        <w:trPr>
          <w:trHeight w:val="688"/>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合作机构</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万家基金管理有限公司,华夏基金管理有限公司,招商基金管理有限公司,易方达基金管理有限公司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产品管理人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南银理财有限责任公司</w:t>
            </w:r>
          </w:p>
        </w:tc>
      </w:tr>
      <w:tr w:rsidR="00B31DA4" w:rsidTr="0031044B">
        <w:trPr>
          <w:trHeight w:val="714"/>
        </w:trPr>
        <w:tc>
          <w:tcPr>
            <w:tcW w:w="2719"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产品托管人</w:t>
            </w:r>
          </w:p>
        </w:tc>
        <w:tc>
          <w:tcPr>
            <w:tcW w:w="6178" w:type="dxa"/>
            <w:vAlign w:val="center"/>
          </w:tcPr>
          <w:p w:rsidR="00B31DA4" w:rsidRPr="00B0184E" w:rsidRDefault="007816A9" w:rsidP="00E80B2A">
            <w:pPr>
              <w:spacing w:beforeLines="20" w:before="48" w:afterLines="20" w:after="48"/>
              <w:jc w:val="left"/>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§2  主要财务指标</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2.1 主要财务指标</w:t>
      </w:r>
    </w:p>
    <w:p w:rsidR="00B31DA4" w:rsidRPr="00B0184E" w:rsidRDefault="007816A9" w:rsidP="00675A8D">
      <w:pPr>
        <w:spacing w:before="240" w:after="72" w:line="360" w:lineRule="auto"/>
        <w:jc w:val="right"/>
        <w:rPr>
          <w:rFonts w:ascii="方正仿宋简体" w:eastAsia="方正仿宋简体"/>
          <w:sz w:val="24"/>
          <w:szCs w:val="24"/>
        </w:rPr>
      </w:pPr>
      <w:r w:rsidRPr="00B0184E">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838"/>
        <w:gridCol w:w="2693"/>
        <w:gridCol w:w="2410"/>
        <w:gridCol w:w="2126"/>
      </w:tblGrid>
      <w:tr w:rsidR="00B31DA4" w:rsidRPr="00B0184E" w:rsidTr="00E2696A">
        <w:trPr>
          <w:trHeight w:val="699"/>
          <w:jc w:val="center"/>
        </w:trPr>
        <w:tc>
          <w:tcPr>
            <w:tcW w:w="1838" w:type="dxa"/>
            <w:vMerge w:val="restart"/>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内部销售代码</w:t>
            </w:r>
          </w:p>
        </w:tc>
        <w:tc>
          <w:tcPr>
            <w:tcW w:w="7229" w:type="dxa"/>
            <w:gridSpan w:val="3"/>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报告期（2023年07月01日 - 2023年09月30日）</w:t>
            </w:r>
          </w:p>
        </w:tc>
      </w:tr>
      <w:tr w:rsidR="00B31DA4" w:rsidRPr="00B0184E" w:rsidTr="00E2696A">
        <w:trPr>
          <w:trHeight w:val="1697"/>
          <w:jc w:val="center"/>
        </w:trPr>
        <w:tc>
          <w:tcPr>
            <w:tcW w:w="1838" w:type="dxa"/>
            <w:vMerge/>
            <w:vAlign w:val="center"/>
          </w:tcPr>
          <w:p w:rsidR="00B31DA4" w:rsidRPr="00B0184E" w:rsidRDefault="00B31DA4" w:rsidP="00E80B2A">
            <w:pPr>
              <w:spacing w:beforeLines="20" w:before="48" w:afterLines="20" w:after="48"/>
              <w:jc w:val="center"/>
              <w:rPr>
                <w:rFonts w:ascii="方正仿宋简体" w:eastAsia="方正仿宋简体"/>
                <w:sz w:val="24"/>
                <w:szCs w:val="24"/>
              </w:rPr>
            </w:pPr>
          </w:p>
        </w:tc>
        <w:tc>
          <w:tcPr>
            <w:tcW w:w="269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1.期末产品最后一个市场交易</w:t>
            </w:r>
            <w:proofErr w:type="gramStart"/>
            <w:r w:rsidRPr="00B0184E">
              <w:rPr>
                <w:rFonts w:ascii="方正仿宋简体" w:eastAsia="方正仿宋简体" w:hint="eastAsia"/>
                <w:sz w:val="24"/>
                <w:szCs w:val="24"/>
              </w:rPr>
              <w:t>日资产</w:t>
            </w:r>
            <w:proofErr w:type="gramEnd"/>
            <w:r w:rsidRPr="00B0184E">
              <w:rPr>
                <w:rFonts w:ascii="方正仿宋简体" w:eastAsia="方正仿宋简体" w:hint="eastAsia"/>
                <w:sz w:val="24"/>
                <w:szCs w:val="24"/>
              </w:rPr>
              <w:t>净值</w:t>
            </w:r>
          </w:p>
        </w:tc>
        <w:tc>
          <w:tcPr>
            <w:tcW w:w="241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2.期末产品最后一个市场交易日份额净值</w:t>
            </w:r>
          </w:p>
        </w:tc>
        <w:tc>
          <w:tcPr>
            <w:tcW w:w="212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3.期末产品最后一个市场交易日份额累计净值</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Y40021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172,509,149.70</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1.0229</w:t>
            </w:r>
          </w:p>
        </w:tc>
      </w:tr>
      <w:tr>
        <w:trPr>
          <w:trHeight w:val="565"/>
          <w:jc w:val="center"/>
        </w:trPr>
        <w:tc>
          <w:tcPr>
            <w:tcW w:w="183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Y42021</w:t>
            </w:r>
          </w:p>
        </w:tc>
        <w:tc>
          <w:tcPr>
            <w:tcW w:w="269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131,530,361.75</w:t>
            </w:r>
          </w:p>
        </w:tc>
        <w:tc>
          <w:tcPr>
            <w:tcW w:w="241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1.0249</w:t>
            </w:r>
          </w:p>
        </w:tc>
        <w:tc>
          <w:tcPr>
            <w:tcW w:w="212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1.0249</w:t>
            </w:r>
          </w:p>
        </w:tc>
      </w:tr>
    </w:tbl>
    <w:p w:rsidR="00B31DA4" w:rsidRPr="00B0184E" w:rsidRDefault="007816A9" w:rsidP="00675A8D">
      <w:pPr>
        <w:pStyle w:val="biaogeleft"/>
        <w:spacing w:before="240" w:after="72" w:line="360" w:lineRule="auto"/>
        <w:ind w:left="0"/>
        <w:rPr>
          <w:rFonts w:ascii="方正仿宋简体" w:eastAsia="方正仿宋简体" w:hAnsi="Times New Roman" w:cs="Times New Roman"/>
          <w:kern w:val="2"/>
        </w:rPr>
      </w:pPr>
      <w:r w:rsidRPr="00B0184E">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§3  管理人报告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3.1 报告期内产品的投资策略和运作分析</w:t>
      </w:r>
    </w:p>
    <w:p w:rsidR="00B31DA4" w:rsidRPr="00B0184E" w:rsidRDefault="007816A9" w:rsidP="00675A8D">
      <w:pPr>
        <w:spacing w:before="240" w:after="72" w:line="360" w:lineRule="auto"/>
        <w:rPr>
          <w:rFonts w:ascii="方正仿宋简体" w:eastAsia="方正仿宋简体"/>
          <w:sz w:val="24"/>
          <w:szCs w:val="24"/>
        </w:rPr>
      </w:pPr>
      <w:r>
        <w:rPr>
          <w:rFonts w:ascii="方正仿宋简体" w:eastAsia="方正仿宋简体" w:hint="eastAsia"/>
          <w:sz w:val="24"/>
          <w:szCs w:val="24"/>
        </w:rPr>
        <w:t>  三季度迎来政策组合拳的持续发力，地产政策超预期放开，全国范围内首套住房执行“认房不认贷”、下调首付比例和房贷利率下限、降低存量首套住房贷款利率，短期极大提振了新房和二手房的销售热度。同时，证券交易印花税实施减半征收，提振了市场信心，活跃资本市场的交易热情。但从政策效果看，主要指数短暂冲高后持续下挫，同时离岸人民币贬值压力高企带动北上资金持续大幅流出，万得全A、沪深300、创业板指分别下跌4.33%、3.98%和9.53%。债券市场则先涨后跌，虽然8月央行继续降准维持资金面中性偏松，但在一揽子政策发力之下，高频经济指标、金融数据、PPI、工业企业利润均触底回升，债市面临不小的调整压力，同时在止盈诉求下迎来较多卖盘，一度出现类似于去年11月理财赎回潮带来的负反馈，加剧市场波动，十年国债从最低2.54%上行至2.69%的阶段性高点；短端信用债和银行二级资本债收益率的上行幅度大于利率债，信用利差也有所拉大。三季度股债市场短暂出现双杀的罕见情形。</w:t>
        <w:br w:type="textWrapping" w:clear="all"/>
      </w:r>
      <w:r>
        <w:rPr>
          <w:rFonts w:ascii="方正仿宋简体" w:eastAsia="方正仿宋简体" w:hint="eastAsia"/>
          <w:sz w:val="24"/>
          <w:szCs w:val="24"/>
        </w:rPr>
        <w:t>  展望四季度，短期市场虽然对地产政策落地拉动经济的效果依旧存疑，但随着经济数据的持续验证、库存去化和PPI的触底回升，经济基本面有望边际改善；在9月权益市场持续下跌后，股票的绝对估值、股债性价比指标均已处于历史较低位置，中期看权益资产的配置胜率和赔率均较高。债券方面，货币政策仍有持续宽松的可能性，在地产拿地开工不乐观以及贷款利率持续下行的背景下，利率大幅上行风险较小，在经历过9月的调整后，债券性价比有所抬升，随着理财负反馈以及跨季资金面逐步缓解后，利率有望逐步企稳，整体仍会保持中性久期和杠杆应对。</w:t>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三季度市场波动加剧的情况下，我们及时控制杠杆和久期水平，并适当通过低波策略应对债市调整。在地产政策打开和印花税减半的短暂政策面行情中，我们逢反弹适当降低了部分权益仓位，坚持防守反击的策略，计划在四季度权益市场出现主升浪的情况下于右侧择机增配。</w:t>
      </w: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3.2 报告期内产品的流动性风险分析</w:t>
      </w:r>
    </w:p>
    <w:p w:rsidR="00B31DA4" w:rsidRPr="00B0184E" w:rsidRDefault="007816A9" w:rsidP="00675A8D">
      <w:pPr>
        <w:spacing w:before="240" w:after="72" w:line="360" w:lineRule="auto"/>
        <w:rPr>
          <w:rFonts w:ascii="方正仿宋简体" w:eastAsia="方正仿宋简体"/>
          <w:sz w:val="24"/>
          <w:szCs w:val="24"/>
        </w:rPr>
      </w:pPr>
      <w:r w:rsidRPr="00B0184E">
        <w:rPr>
          <w:rFonts w:ascii="方正仿宋简体" w:eastAsia="方正仿宋简体"/>
          <w:sz w:val="24"/>
          <w:szCs w:val="24"/>
        </w:rPr>
        <w:t/>
      </w:r>
      <w:proofErr w:type="spellStart"/>
      <w:r w:rsidRPr="00B0184E">
        <w:rPr>
          <w:rFonts w:ascii="方正仿宋简体" w:eastAsia="方正仿宋简体"/>
          <w:sz w:val="24"/>
          <w:szCs w:val="24"/>
        </w:rPr>
        <w:t/>
      </w:r>
      <w:proofErr w:type="spellEnd"/>
      <w:r w:rsidRPr="00B0184E">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3.3 报告期内产品的业绩表现</w:t>
      </w:r>
    </w:p>
    <w:p w:rsidR="00B31DA4" w:rsidRPr="00B0184E" w:rsidRDefault="007816A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截至报告期末，本产品Y40021份额净值为1.0231元，Y42021份额净值为1.0250元。</w:t>
      </w:r>
    </w:p>
    <w:p w:rsidR="00B31DA4" w:rsidRDefault="00B31DA4" w:rsidP="00675A8D">
      <w:pPr>
        <w:spacing w:before="240" w:after="72" w:line="360" w:lineRule="auto"/>
        <w:rPr>
          <w:rFonts w:ascii="方正仿宋_GBK" w:eastAsia="方正仿宋_GBK" w:hAnsi="宋体"/>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§4  投资组合报告</w:t>
      </w: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45"/>
        <w:gridCol w:w="1859"/>
        <w:gridCol w:w="3002"/>
        <w:gridCol w:w="3289"/>
      </w:tblGrid>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proofErr w:type="gramStart"/>
            <w:r w:rsidRPr="00B0184E">
              <w:rPr>
                <w:rFonts w:ascii="方正仿宋简体" w:eastAsia="方正仿宋简体" w:hint="eastAsia"/>
                <w:sz w:val="24"/>
                <w:szCs w:val="24"/>
              </w:rPr>
              <w:t>穿透前占总</w:t>
            </w:r>
            <w:proofErr w:type="gramEnd"/>
            <w:r w:rsidRPr="00B0184E">
              <w:rPr>
                <w:rFonts w:ascii="方正仿宋简体" w:eastAsia="方正仿宋简体"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穿透后占总资产比例</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90.24%</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90.92%</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7.01%</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0.00%</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9.76%</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2.07%</w:t>
            </w:r>
          </w:p>
        </w:tc>
      </w:tr>
      <w:tr w:rsidR="00A21516" w:rsidTr="0031044B">
        <w:tc>
          <w:tcPr>
            <w:tcW w:w="738"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Pr="00B0184E" w:rsidRDefault="00A21516"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58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代码</w:t>
            </w:r>
          </w:p>
        </w:tc>
        <w:tc>
          <w:tcPr>
            <w:tcW w:w="272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名称</w:t>
            </w:r>
          </w:p>
        </w:tc>
        <w:tc>
          <w:tcPr>
            <w:tcW w:w="2058"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公允价值（元）</w:t>
            </w:r>
          </w:p>
        </w:tc>
        <w:tc>
          <w:tcPr>
            <w:tcW w:w="1812"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占产品资产净值比例（％）</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22881361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22金坛国发04</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80,000,000.00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26.31</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22881359</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22瀚瑞投资02</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60,000,000.00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19.73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36,116,500.00</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11.88</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ZJQTT202201040001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万家基金裕顺1号集合资产管理计划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30,489,082.97</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ZJQTT202203210001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30,115,649.91</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9.90</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ZJQTT202101180001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易方达基金鸿鹤1号集合资产管理计划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30,071,669.15</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9.89</w:t>
            </w:r>
          </w:p>
        </w:tc>
      </w:tr>
      <w:tr>
        <w:trPr>
          <w:trHeight w:val="583"/>
          <w:jc w:val="center"/>
        </w:trPr>
        <w:tc>
          <w:tcPr>
            <w:tcW w:w="751"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5" w:type="dxa"/>
            <w:shd w:val="clear" w:color="auto" w:fill="auto"/>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HHQTT202103300001</w:t>
            </w:r>
          </w:p>
        </w:tc>
        <w:tc>
          <w:tcPr>
            <w:tcW w:w="2720"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华夏基金宁益1号集合资产管理计划</w:t>
            </w:r>
          </w:p>
        </w:tc>
        <w:tc>
          <w:tcPr>
            <w:tcW w:w="2058"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29,729,456.74</w:t>
            </w:r>
          </w:p>
        </w:tc>
        <w:tc>
          <w:tcPr>
            <w:tcW w:w="1812" w:type="dxa"/>
            <w:shd w:val="clear" w:color="000000" w:fill="FFFFFF"/>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9.78</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rPr>
          <w:rFonts w:ascii="方正仿宋简体" w:eastAsia="方正仿宋简体"/>
          <w:b/>
          <w:sz w:val="24"/>
          <w:szCs w:val="24"/>
        </w:rPr>
      </w:pPr>
      <w:r w:rsidRPr="00B0184E">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704"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融资客户</w:t>
            </w:r>
          </w:p>
        </w:tc>
        <w:tc>
          <w:tcPr>
            <w:tcW w:w="1275"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项目名称</w:t>
            </w:r>
          </w:p>
        </w:tc>
        <w:tc>
          <w:tcPr>
            <w:tcW w:w="1540"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剩余融资期限（</w:t>
            </w:r>
            <w:r w:rsidRPr="00B0184E">
              <w:rPr>
                <w:rFonts w:ascii="方正仿宋简体" w:eastAsia="方正仿宋简体"/>
                <w:sz w:val="24"/>
                <w:szCs w:val="24"/>
              </w:rPr>
              <w:t>天）</w:t>
            </w:r>
          </w:p>
        </w:tc>
        <w:tc>
          <w:tcPr>
            <w:tcW w:w="1383"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到期收益分配</w:t>
            </w:r>
          </w:p>
        </w:tc>
        <w:tc>
          <w:tcPr>
            <w:tcW w:w="1271"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交易结构</w:t>
            </w:r>
          </w:p>
        </w:tc>
        <w:tc>
          <w:tcPr>
            <w:tcW w:w="876" w:type="dxa"/>
            <w:vAlign w:val="center"/>
          </w:tcPr>
          <w:p w:rsidR="00B31DA4" w:rsidRPr="00B0184E" w:rsidRDefault="007816A9"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风险状况</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江苏金坛国发国际投资发展有限公司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22金坛国发04</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394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jc w:val="center"/>
        </w:trPr>
        <w:tc>
          <w:tcPr>
            <w:tcW w:w="87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江苏瀚瑞投资控股有限公司</w:t>
            </w:r>
          </w:p>
        </w:tc>
        <w:tc>
          <w:tcPr>
            <w:tcW w:w="1275"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22瀚瑞投资02</w:t>
            </w:r>
          </w:p>
        </w:tc>
        <w:tc>
          <w:tcPr>
            <w:tcW w:w="1540"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394</w:t>
            </w:r>
          </w:p>
        </w:tc>
        <w:tc>
          <w:tcPr>
            <w:tcW w:w="13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Pr="00B0184E" w:rsidRDefault="007816A9" w:rsidP="00675A8D">
      <w:pPr>
        <w:spacing w:before="240" w:after="72" w:line="360" w:lineRule="auto"/>
        <w:jc w:val="center"/>
        <w:rPr>
          <w:rFonts w:ascii="方正仿宋简体" w:eastAsia="方正仿宋简体"/>
          <w:b/>
          <w:sz w:val="24"/>
          <w:szCs w:val="24"/>
        </w:rPr>
      </w:pPr>
      <w:r w:rsidRPr="00B0184E">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序号</w:t>
            </w:r>
          </w:p>
        </w:tc>
        <w:tc>
          <w:tcPr>
            <w:tcW w:w="1417"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账户类型</w:t>
            </w:r>
          </w:p>
        </w:tc>
        <w:tc>
          <w:tcPr>
            <w:tcW w:w="266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账号</w:t>
            </w:r>
          </w:p>
        </w:tc>
        <w:tc>
          <w:tcPr>
            <w:tcW w:w="1983"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账户名称</w:t>
            </w:r>
          </w:p>
        </w:tc>
        <w:tc>
          <w:tcPr>
            <w:tcW w:w="1988" w:type="dxa"/>
            <w:vAlign w:val="center"/>
          </w:tcPr>
          <w:p w:rsidR="000532CC" w:rsidRPr="00B0184E" w:rsidRDefault="000532CC" w:rsidP="00E80B2A">
            <w:pPr>
              <w:spacing w:beforeLines="20" w:before="48" w:afterLines="20" w:after="48"/>
              <w:jc w:val="center"/>
              <w:rPr>
                <w:rFonts w:ascii="方正仿宋简体" w:eastAsia="方正仿宋简体"/>
                <w:sz w:val="24"/>
                <w:szCs w:val="24"/>
              </w:rPr>
            </w:pPr>
            <w:r w:rsidRPr="00B0184E">
              <w:rPr>
                <w:rFonts w:ascii="方正仿宋简体" w:eastAsia="方正仿宋简体" w:hint="eastAsia"/>
                <w:sz w:val="24"/>
                <w:szCs w:val="24"/>
              </w:rPr>
              <w:t>开户单位</w:t>
            </w:r>
          </w:p>
        </w:tc>
      </w:tr>
      <w:tr>
        <w:trPr>
          <w:trHeight w:val="584"/>
          <w:jc w:val="center"/>
        </w:trPr>
        <w:tc>
          <w:tcPr>
            <w:tcW w:w="846"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0120070000000928</w:t>
            </w:r>
          </w:p>
        </w:tc>
        <w:tc>
          <w:tcPr>
            <w:tcW w:w="1983"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南银理财鑫逸稳增强两年21期</w:t>
            </w:r>
          </w:p>
        </w:tc>
        <w:tc>
          <w:tcPr>
            <w:tcW w:w="1988" w:type="dxa"/>
            <w:vAlign w:val="center"/>
            <w:vAlign w:val="center"/>
          </w:tcPr>
          <w:p>
            <w:pPr>
              <w:spacing w:beforeLines="20" w:before="48" w:afterLines="20" w:after="48"/>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rsidR="00B31DA4" w:rsidRDefault="00B31DA4" w:rsidP="0068509B">
      <w:pPr>
        <w:spacing w:afterLines="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Pr="00B0184E" w:rsidRDefault="007816A9" w:rsidP="00675A8D">
      <w:pPr>
        <w:spacing w:before="240" w:after="72" w:line="360" w:lineRule="auto"/>
        <w:jc w:val="center"/>
        <w:rPr>
          <w:rFonts w:ascii="方正仿宋简体" w:eastAsia="方正仿宋简体"/>
          <w:b/>
          <w:sz w:val="24"/>
          <w:szCs w:val="24"/>
        </w:rPr>
      </w:pPr>
      <w:bookmarkStart w:id="0" w:name="_GoBack"/>
      <w:r w:rsidRPr="00B0184E">
        <w:rPr>
          <w:rFonts w:ascii="方正仿宋简体" w:eastAsia="方正仿宋简体" w:hint="eastAsia"/>
          <w:b/>
          <w:sz w:val="24"/>
          <w:szCs w:val="24"/>
        </w:rPr>
        <w:t>§6 关联交易情况</w:t>
      </w:r>
    </w:p>
    <w:bookmarkEnd w:id="0"/>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报告期内，产品投资于关联</w:t>
      </w:r>
      <w:proofErr w:type="gramStart"/>
      <w:r w:rsidRPr="00B0184E">
        <w:rPr>
          <w:rFonts w:ascii="方正仿宋简体" w:eastAsia="方正仿宋简体" w:hint="eastAsia"/>
          <w:sz w:val="24"/>
          <w:szCs w:val="24"/>
        </w:rPr>
        <w:t>方发行</w:t>
      </w:r>
      <w:proofErr w:type="gramEnd"/>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的证券、关联方作为融资人的非标准化债权类资产业务交易金额0.00元。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产品投资于关联方承销的证券交易金额0.00元。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产品与关联方作为交易对手开展的投融资业务交易金额0.00元。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产品投资关联方作为管理人的资产管理产品交易金额0.00元。</w:t>
      </w:r>
    </w:p>
    <w:p w:rsidR="004601C9" w:rsidRPr="00B0184E" w:rsidRDefault="00DD2B26"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产品</w:t>
      </w:r>
      <w:r w:rsidR="004601C9" w:rsidRPr="00B0184E">
        <w:rPr>
          <w:rFonts w:ascii="方正仿宋简体" w:eastAsia="方正仿宋简体" w:hint="eastAsia"/>
          <w:sz w:val="24"/>
          <w:szCs w:val="24"/>
        </w:rPr>
        <w:t/>
      </w:r>
      <w:proofErr w:type="spellStart"/>
      <w:r w:rsidR="004601C9" w:rsidRPr="00B0184E">
        <w:rPr>
          <w:rFonts w:ascii="方正仿宋简体" w:eastAsia="方正仿宋简体" w:hint="eastAsia"/>
          <w:sz w:val="24"/>
          <w:szCs w:val="24"/>
        </w:rPr>
        <w:t/>
      </w:r>
      <w:proofErr w:type="spellEnd"/>
      <w:r w:rsidR="004601C9" w:rsidRPr="00B0184E">
        <w:rPr>
          <w:rFonts w:ascii="方正仿宋简体" w:eastAsia="方正仿宋简体" w:hint="eastAsia"/>
          <w:sz w:val="24"/>
          <w:szCs w:val="24"/>
        </w:rPr>
        <w:t>支付关联方托管费0.00</w:t>
      </w:r>
      <w:r w:rsidRPr="00B0184E">
        <w:rPr>
          <w:rFonts w:ascii="方正仿宋简体" w:eastAsia="方正仿宋简体" w:hint="eastAsia"/>
          <w:sz w:val="24"/>
          <w:szCs w:val="24"/>
        </w:rPr>
        <w:t>元，</w:t>
      </w:r>
      <w:r w:rsidR="004601C9" w:rsidRPr="00B0184E">
        <w:rPr>
          <w:rFonts w:ascii="方正仿宋简体" w:eastAsia="方正仿宋简体" w:hint="eastAsia"/>
          <w:sz w:val="24"/>
          <w:szCs w:val="24"/>
        </w:rPr>
        <w:t>支付关联方代销费</w:t>
      </w:r>
      <w:r w:rsidR="00735F94" w:rsidRPr="00B0184E">
        <w:rPr>
          <w:rFonts w:ascii="方正仿宋简体" w:eastAsia="方正仿宋简体" w:hint="eastAsia"/>
          <w:sz w:val="24"/>
          <w:szCs w:val="24"/>
        </w:rPr>
        <w:t/>
      </w:r>
      <w:proofErr w:type="spellStart"/>
      <w:r w:rsidR="00735F94" w:rsidRPr="00B0184E">
        <w:rPr>
          <w:rFonts w:ascii="方正仿宋简体" w:eastAsia="方正仿宋简体" w:hint="eastAsia"/>
          <w:sz w:val="24"/>
          <w:szCs w:val="24"/>
        </w:rPr>
        <w:t/>
      </w:r>
      <w:proofErr w:type="spellEnd"/>
      <w:r w:rsidR="00735F94" w:rsidRPr="00B0184E">
        <w:rPr>
          <w:rFonts w:ascii="方正仿宋简体" w:eastAsia="方正仿宋简体" w:hint="eastAsia"/>
          <w:sz w:val="24"/>
          <w:szCs w:val="24"/>
        </w:rPr>
        <w:t>92,224.72</w:t>
      </w:r>
      <w:r w:rsidR="004601C9" w:rsidRPr="00B0184E">
        <w:rPr>
          <w:rFonts w:ascii="方正仿宋简体" w:eastAsia="方正仿宋简体" w:hint="eastAsia"/>
          <w:sz w:val="24"/>
          <w:szCs w:val="24"/>
        </w:rPr>
        <w:t>元。</w:t>
      </w:r>
    </w:p>
    <w:p w:rsidR="004601C9"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t/>
      </w:r>
      <w:proofErr w:type="spellStart"/>
      <w:r w:rsidRPr="00B0184E">
        <w:rPr>
          <w:rFonts w:ascii="方正仿宋简体" w:eastAsia="方正仿宋简体" w:hint="eastAsia"/>
          <w:sz w:val="24"/>
          <w:szCs w:val="24"/>
        </w:rPr>
        <w:t/>
      </w:r>
      <w:proofErr w:type="spellEnd"/>
      <w:r w:rsidRPr="00B0184E">
        <w:rPr>
          <w:rFonts w:ascii="方正仿宋简体" w:eastAsia="方正仿宋简体" w:hint="eastAsia"/>
          <w:sz w:val="24"/>
          <w:szCs w:val="24"/>
        </w:rPr>
        <w:t>产品发生其他关联交易金额0.00元。</w:t>
      </w:r>
    </w:p>
    <w:p w:rsidR="00B31DA4" w:rsidRPr="00B0184E" w:rsidRDefault="004601C9" w:rsidP="00675A8D">
      <w:pPr>
        <w:spacing w:before="240" w:after="72" w:line="360" w:lineRule="auto"/>
        <w:ind w:firstLineChars="200" w:firstLine="480"/>
        <w:rPr>
          <w:rFonts w:ascii="方正仿宋简体" w:eastAsia="方正仿宋简体"/>
          <w:sz w:val="24"/>
          <w:szCs w:val="24"/>
        </w:rPr>
      </w:pPr>
      <w:r w:rsidRPr="00B0184E">
        <w:rPr>
          <w:rFonts w:ascii="方正仿宋简体" w:eastAsia="方正仿宋简体"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南银理财有限责任公司</w:t>
      </w:r>
    </w:p>
    <w:p w:rsidR="00B31DA4" w:rsidRPr="00B0184E" w:rsidRDefault="007816A9" w:rsidP="00675A8D">
      <w:pPr>
        <w:spacing w:before="240" w:after="72" w:line="360" w:lineRule="auto"/>
        <w:jc w:val="right"/>
        <w:rPr>
          <w:rFonts w:ascii="方正仿宋简体" w:eastAsia="方正仿宋简体"/>
          <w:b/>
          <w:sz w:val="24"/>
          <w:szCs w:val="24"/>
        </w:rPr>
      </w:pPr>
      <w:r w:rsidRPr="00B0184E">
        <w:rPr>
          <w:rFonts w:ascii="方正仿宋简体" w:eastAsia="方正仿宋简体" w:hint="eastAsia"/>
          <w:b/>
          <w:sz w:val="24"/>
          <w:szCs w:val="24"/>
        </w:rPr>
        <w:t/>
      </w:r>
      <w:proofErr w:type="spellStart"/>
      <w:r w:rsidRPr="00B0184E">
        <w:rPr>
          <w:rFonts w:ascii="方正仿宋简体" w:eastAsia="方正仿宋简体" w:hint="eastAsia"/>
          <w:b/>
          <w:sz w:val="24"/>
          <w:szCs w:val="24"/>
        </w:rPr>
        <w:t/>
      </w:r>
      <w:proofErr w:type="spellEnd"/>
      <w:r w:rsidRPr="00B0184E">
        <w:rPr>
          <w:rFonts w:ascii="方正仿宋简体" w:eastAsia="方正仿宋简体" w:hint="eastAsia"/>
          <w:b/>
          <w:sz w:val="24"/>
          <w:szCs w:val="24"/>
        </w:rPr>
        <w:t>2023年09月30日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rsidSect="00FE56A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85D" w:rsidRDefault="00C4285D">
      <w:pPr>
        <w:spacing w:after="72"/>
      </w:pPr>
      <w:r>
        <w:separator/>
      </w:r>
    </w:p>
  </w:endnote>
  <w:endnote w:type="continuationSeparator" w:id="0">
    <w:p w:rsidR="00C4285D" w:rsidRDefault="00C4285D">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fixed"/>
    <w:sig w:usb0="00000001" w:usb1="080E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D76555">
    <w:pPr>
      <w:pStyle w:val="a3"/>
      <w:framePr w:wrap="around" w:vAnchor="text" w:hAnchor="margin" w:xAlign="center" w:y="1"/>
      <w:spacing w:after="72"/>
      <w:rPr>
        <w:rStyle w:val="a6"/>
      </w:rPr>
    </w:pPr>
    <w:r>
      <w:fldChar w:fldCharType="begin"/>
    </w:r>
    <w:r w:rsidR="007816A9">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85D" w:rsidRDefault="00C4285D">
      <w:pPr>
        <w:spacing w:after="72"/>
      </w:pPr>
      <w:r>
        <w:separator/>
      </w:r>
    </w:p>
  </w:footnote>
  <w:footnote w:type="continuationSeparator" w:id="0">
    <w:p w:rsidR="00C4285D" w:rsidRDefault="00C4285D">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7B713EE-A110-4569-BB15-FC96424C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A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56A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E56A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E56A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E56AA"/>
  </w:style>
  <w:style w:type="character" w:customStyle="1" w:styleId="Char">
    <w:name w:val="页脚 Char"/>
    <w:link w:val="a3"/>
    <w:uiPriority w:val="99"/>
    <w:qFormat/>
    <w:locked/>
    <w:rsid w:val="00FE56AA"/>
    <w:rPr>
      <w:rFonts w:ascii="Times New Roman" w:hAnsi="Times New Roman" w:cs="Times New Roman"/>
      <w:sz w:val="18"/>
      <w:szCs w:val="18"/>
    </w:rPr>
  </w:style>
  <w:style w:type="character" w:customStyle="1" w:styleId="Char1">
    <w:name w:val="页脚 Char1"/>
    <w:basedOn w:val="a0"/>
    <w:uiPriority w:val="99"/>
    <w:semiHidden/>
    <w:qFormat/>
    <w:rsid w:val="00FE56AA"/>
    <w:rPr>
      <w:rFonts w:ascii="Times New Roman" w:eastAsia="宋体" w:hAnsi="Times New Roman" w:cs="Times New Roman"/>
      <w:sz w:val="18"/>
      <w:szCs w:val="18"/>
    </w:rPr>
  </w:style>
  <w:style w:type="paragraph" w:customStyle="1" w:styleId="biaogeleft">
    <w:name w:val="biaoge_left"/>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E56A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E56A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E56A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E56A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E56A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E56A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E56A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E56A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E56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fontTable.xml" Type="http://schemas.openxmlformats.org/officeDocument/2006/relationships/fontTable"/><Relationship Id="rId14"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315</Words>
  <Characters>1797</Characters>
  <Application>Microsoft Office Word</Application>
  <DocSecurity>0</DocSecurity>
  <Lines>14</Lines>
  <Paragraphs>4</Paragraphs>
  <ScaleCrop>false</ScaleCrop>
  <Company>cc</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2023-06-06T07:37:00Z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