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南银理财珠联璧合鑫逸稳增强两年22期封闭式公募人民币理财产品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南银理财珠联璧合鑫逸稳增强两年22期封闭式公募人民币理财产品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Z7003222000075（投资者可依据该编码在中国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2022年10月26日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773,790,674.00份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万家基金管理有限公司,华夏基金管理有限公司,招商基金管理有限公司,鑫元基金管理有限公司,易方达基金管理有限公司,景顺长城基金管理有限公司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Y40022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100,883,400.67</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1.0210</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1.0210</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Y41022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460,210,835.84</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1.0229</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Y42022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120,716,744.22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1.0229</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Y43022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103,552,070.22</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1.0229</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Y44022</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5,987,272.60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1.0243</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1.0243</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截至报告期末，本产品Y40022份额净值为1.0211元，Y41022份额净值为1.0230元，Y42022份额净值为1.0230元，Y43022份额净值为1.0230元，Y44022份额净值为1.0244元。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89.10%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90.07%</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7.61%</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10.90%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2.32%</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22881359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22瀚瑞投资02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140,000,000.00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17.69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22881361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22金坛国发04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15.16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22881379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22盛州集团02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12.63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86,418,027.69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10.92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80,446,640.81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80,430,480.69</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ZJQTT202201040001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万家基金裕顺1号集合资产管理计划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60,954,505.77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7.70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41,280,128.01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5.22</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31,647,313.45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ZJQTT202112280001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景顺长城南景悦享1号集合资产管理计划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29,355,353.07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3.71</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江苏金坛国发国际投资发展有限公司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22金坛国发04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394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江苏瀚瑞投资控股有限公司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22瀚瑞投资02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394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盐城盛州集团有限公司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22盛州集团02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401</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0120060000000943</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南银理财鑫逸稳增强两年22期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65,131.35</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