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Z7003223000028（投资者可依据该编码在中国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2023年02月22日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129,825,885.00份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中信期货有限公司,华夏基金管理有限公司,招商基金管理有限公司,易方达基金管理有限公司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44,737,702.22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36,973,086.33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50,234,228.31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截至报告期末，本产品Y40037份额净值为1.0156元，Y41037份额净值为1.0168元，Y42037份额净值为1.0168元。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1.76%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23880490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23金东城投01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22,760,978.54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17.25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15,246,458.91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15,030,080.21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11.39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10,794,929.27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8.18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HHQTT202201060001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中信期货价值精粹6号集合资产管理计划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1,746,930.65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盐城市盐都交通建设发展有限公司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泰州市金东城市建设投资集团有限公司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23金东城投01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0120050000001052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21,738.34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