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Z7003223000040（投资者可依据该编码在中国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2023年03月01日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113,574,933.00份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71,401,830.02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1.0152</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Y41038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3,389,061.68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40,570,651.09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截至报告期末，本产品Y40038份额净值为1.0154元，Y41038份额净值为1.0165元，Y42038份额净值为1.0165元。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90.37%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7.83%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9.63%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27.74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15,223,458.41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13.19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10,319,000.00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10,307,098.02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10,028,672.46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8.69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9,386,418.58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1,746,930.65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盐城市盐都交通建设发展有限公司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0120030000001072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33,178.08</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