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南银理财珠联璧合鑫逸稳增强两年39期封闭式公募人民币理财产品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南银理财珠联璧合鑫逸稳增强两年39期封闭式公募人民币理财产品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Z7003223000051（投资者可依据该编码在中国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2023年03月08日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170,289,530.00份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中信期货有限公司,华夏基金管理有限公司,招商基金管理有限公司,易方达基金管理有限公司,景顺长城基金管理有限公司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109,493,210.38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Y41039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1,128,410.78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62,058,584.20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截至报告期末，本产品Y40039份额净值为1.0137元，Y41039份额净值为1.0148元，Y42039份额净值为1.0148元。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90.68%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7.58%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23880726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23盐城国投05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48.64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19,351,652.65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11.21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19,108,508.70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15,444,522.05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8.94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15,404,118.15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14,161,244.01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8.20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2,426,292.58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盐城市国有资产投资集团有限公司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23盐城国投05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541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0120070000001094</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47,954.65</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