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南银理财珠联璧合鑫逸稳增强两年46期封闭式公募人民币理财产品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南银理财珠联璧合鑫逸稳增强两年46期封闭式公募人民币理财产品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Z7003223000078（投资者可依据该编码在中国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2023年04月26日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165,087,561.00份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中信期货有限公司,华夏基金管理有限公司,华泰资产管理有限公司,招商基金管理有限公司,鹏华基金管理有限公司,景顺长城基金管理有限公司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Y40046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90,870,782.93</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1.0084</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Y41046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26,527,529.10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1.0092</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Y42046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49,146,420.43</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1.0092</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截至报告期末，本产品Y40046份额净值为1.0085元，Y41046份额净值为1.0094元，Y42046份额净值为1.0094元。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90.57%</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92.00%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6.29%</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9.43%</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1.71%</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23881090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23盐城交通14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48.03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ZJQTT202112280001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景顺长城南景悦享1号集合资产管理计划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17,286,680.64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16,259,996.06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9.76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13,259,279.43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7.96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ZJQTT202103180001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鹏华基金南华1号集合资产管理计划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12,937,609.49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7.77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10,209,617.75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6.13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ZJQTT202304110023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华泰资产宁泰稳利资产管理产品</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9,787,742.90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5.88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HHQTT202201060001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中信期货价值精粹6号集合资产管理计划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2,467,032.97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23881076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23华宇投资03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1.20</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盐城市交通投资建设控股集团有限公司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23盐城交通14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589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靖江市华宇投资建设有限公司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23华宇投资03</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587</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0120050000001146</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南银理财鑫逸稳增强两年46期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15,091.44</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