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2023年05月24日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111,638,462.00份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56,244,619.84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23,569,332.50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32,295,658.20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截至报告期末，本产品Y40049份额净值为1.0039元，Y41049份额净值为1.0046元，Y42049份额净值为1.0046元。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90.36%</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90.91%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7.28%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9.64%</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27.65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13,724,715.48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12,179,712.46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12,124,678.09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9,151,109.58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8,165,370.75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1,677,582.41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0120000000001158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9,436.41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