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南银理财珠联璧合鑫逸稳增强两年51期封闭式公募人民币理财产品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南银理财珠联璧合鑫逸稳增强两年51期封闭式公募人民币理财产品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2023年06月07日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83,141,057.00份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华泰资产管理有限公司,招商基金管理有限公司,南方基金管理股份有限公司,中国对外经济贸易信托有限公司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Y40051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39,641,161.52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Y41051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20,744,969.38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Y42051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23,108,627.39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截至报告期末，本产品Y40051份额净值为1.0040元，Y41051份额净值为1.0046元，Y42051份额净值为1.0046元。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97.44%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2.56%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27.54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18,132,339.72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21.71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20.36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8,075,947.11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8,050,107.50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7,809,183.07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9.35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0120060000001179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南银理财鑫逸稳增强两年51期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5,317.53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