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PWMK6BV7R9A05BGQZR8RLJB7NMMO7VREF06XJEPXFGRTQLTZ8BRRC0HFY5HP8RRBEMXJOL5ZHJD8IEJQUFT6FF789CMWMLB8JODRHB34AE712FFC58E2467ED840812282D6EF5" Type="http://schemas.microsoft.com/office/2006/relationships/officeDocumentMain" Target="docProps/core.xml"/><Relationship Id="CGWMR6GO79TQ0V9GRQRNYL057NNMOXPR9S06BJDTXFF8TELT66BRDCJUFY5TPCRRBXMXHOL9ZI7D8HJJRJFADFFV89EMWILBBSOOQHB35E1CDB05A6DDAC48E14B83B5ED08CAFD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徽银理财净值型理财产品每周净值公告（2023年12月01日）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12月01日,产品存续份额:233,065,569份，产品当日资产净值:241,618,392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1.033449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1.033449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1.034265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1.034265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12月01日,产品存续份额:449,746,769份，产品当日资产净值:465,830,577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1.029978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1.029978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12月01日,产品存续份额:13,941,350份，产品当日资产净值:14,428,306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1.030088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1.030088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1.032508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1.032508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12月01日,产品存续份额:56,862,535份，产品当日资产净值:57,533,023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12月01日,产品存续份额:2,390,000份，产品当日资产净值:2,421,711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12月01日,产品存续份额:31,172,403份，产品当日资产净值:31,355,607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12月01日,产品存续份额:3,550,000份，产品当日资产净值:3,577,235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12月01日,产品存续份额:34,963,033份，产品当日资产净值:36,061,714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1.026529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1.026529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1.031424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1.031424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12月01日,产品存续份额:70,552,652份，产品当日资产净值:72,933,695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12月01日,产品存续份额:38,340,762份，产品当日资产净值:39,476,551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1.026375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1.026375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2023年12月05日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