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徽银理财净值型理财产品每周净值公告（2024年06月14日）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2024年06月14日,产品存续份额:56,862,535份，产品当日资产净值:58,775,243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1.025066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1.027603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1.028668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1.031387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1.032922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1.033501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1.033637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06月14日,产品存续份额:2,390,000份，产品当日资产净值:2,476,534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1.027281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1.028987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1.029897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1.033759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1.035064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1.035412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1.036031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1.036207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2024年06月14日,产品存续份额:31,172,403份，产品当日资产净值:31,925,297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1.018249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1.023406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1.024063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1.024153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06月14日,产品存续份额:3,550,000份，产品当日资产净值:3,646,939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1.022076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1.023695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1.027119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06月14日,产品存续份额:2,780,000份，产品当日资产净值:2,799,767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1.002397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1.005176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1.005851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1.006486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1.007110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1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06月14日,产品存续份额:50,836,956份，产品当日资产净值:50,968,663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6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1.001975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2024年06月14日,产品存续份额:34,963,033份，产品当日资产净值:36,829,243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1.045883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1.046742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1.047578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1.049094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1.049094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1.049823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1.049823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1.050540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1.050540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1.051962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1.052670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1.052670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1.053377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1.053377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2024年06月14日,产品存续份额:70,552,652份，产品当日资产净值:74,624,582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7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1.049530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1.050414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1.051279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1.052084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1.052828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1.053686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1.054495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1.055317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1.055317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1.056136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1.056136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1.056919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1.057715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1.057715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06月14日,产品存续份额:10,530,000份，产品当日资产净值:10,573,136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2024年4月19日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2024年4月26日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1.000475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1.000765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2024年5月17日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2024年5月24日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2024年5月31日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2024年6月14日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2024年06月18日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