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adjustRightInd w:val="0"/>
        <w:snapToGrid w:val="0"/>
        <w:spacing w:line="400" w:lineRule="exact"/>
        <w:ind w:firstLine="0"/>
        <w:jc w:val="center"/>
        <w:rPr>
          <w:rFonts w:eastAsia="黑体"/>
          <w:bCs/>
          <w:kern w:val="2"/>
          <w:sz w:val="36"/>
          <w:szCs w:val="36"/>
        </w:rPr>
      </w:pPr>
      <w:bookmarkStart w:id="4" w:name="_GoBack"/>
      <w:bookmarkEnd w:id="4"/>
      <w:r>
        <w:rPr>
          <w:rFonts w:hint="eastAsia" w:eastAsia="黑体"/>
          <w:bCs/>
          <w:kern w:val="2"/>
          <w:sz w:val="36"/>
          <w:szCs w:val="36"/>
        </w:rPr>
        <w:t>华夏理财固定收益纯债最短持有</w:t>
      </w:r>
      <w:r>
        <w:rPr>
          <w:rFonts w:eastAsia="黑体"/>
          <w:bCs/>
          <w:kern w:val="2"/>
          <w:sz w:val="36"/>
          <w:szCs w:val="36"/>
        </w:rPr>
        <w:t>7</w:t>
      </w:r>
      <w:r>
        <w:rPr>
          <w:rFonts w:hint="eastAsia" w:eastAsia="黑体"/>
          <w:bCs/>
          <w:kern w:val="2"/>
          <w:sz w:val="36"/>
          <w:szCs w:val="36"/>
        </w:rPr>
        <w:t>天理财产品A款</w:t>
      </w:r>
    </w:p>
    <w:p>
      <w:pPr>
        <w:pStyle w:val="6"/>
        <w:adjustRightInd w:val="0"/>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cs="黑体"/>
                <w:b/>
                <w:bCs w:val="0"/>
                <w:sz w:val="28"/>
                <w:szCs w:val="28"/>
                <w:highlight w:val="none"/>
                <w:u w:val="single"/>
              </w:rPr>
            </w:pPr>
            <w:r>
              <w:rPr>
                <w:rFonts w:hint="eastAsia" w:ascii="黑体" w:hAnsi="黑体" w:eastAsia="黑体" w:cs="黑体"/>
                <w:b/>
                <w:bCs w:val="0"/>
                <w:sz w:val="28"/>
                <w:szCs w:val="28"/>
                <w:highlight w:val="none"/>
                <w:u w:val="single"/>
              </w:rPr>
              <w:t>一、理财非存款，产品有风险，投资须谨慎。</w:t>
            </w:r>
          </w:p>
          <w:p>
            <w:pPr>
              <w:adjustRightInd w:val="0"/>
              <w:snapToGrid w:val="0"/>
              <w:spacing w:line="400" w:lineRule="exact"/>
              <w:ind w:left="343" w:right="189" w:rightChars="90"/>
              <w:rPr>
                <w:rFonts w:hint="eastAsia" w:ascii="黑体" w:hAnsi="黑体" w:eastAsia="黑体" w:cs="黑体"/>
                <w:b/>
                <w:bCs w:val="0"/>
                <w:sz w:val="28"/>
                <w:szCs w:val="28"/>
                <w:highlight w:val="none"/>
                <w:u w:val="single"/>
              </w:rPr>
            </w:pPr>
            <w:r>
              <w:rPr>
                <w:rFonts w:hint="eastAsia" w:ascii="黑体" w:hAnsi="黑体" w:eastAsia="黑体" w:cs="黑体"/>
                <w:b/>
                <w:bCs w:val="0"/>
                <w:sz w:val="28"/>
                <w:szCs w:val="28"/>
                <w:highlight w:val="none"/>
                <w:u w:val="single"/>
              </w:rPr>
              <w:t>二、本理财产品为非保本浮动收益净值型理财产品，华夏理财有限责任公司（以下简称“华夏理财”）不保证理财产品本金及理财收益。在本理财产品存续期间，除本产品说明书约定的特殊情况外，投资者可在规定时间内按照本产品说明书中约定的申购、赎回条款申购或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cs="黑体"/>
                <w:b/>
                <w:bCs w:val="0"/>
                <w:sz w:val="28"/>
                <w:szCs w:val="28"/>
                <w:highlight w:val="none"/>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w:t>
            </w:r>
            <w:r>
              <w:rPr>
                <w:rFonts w:hint="eastAsia" w:ascii="黑体" w:hAnsi="黑体" w:eastAsia="黑体" w:cs="黑体"/>
                <w:b/>
                <w:bCs w:val="0"/>
                <w:sz w:val="28"/>
                <w:szCs w:val="28"/>
                <w:highlight w:val="none"/>
                <w:u w:val="single"/>
                <w:lang w:eastAsia="zh-CN"/>
              </w:rPr>
              <w:t>（</w:t>
            </w:r>
            <w:r>
              <w:rPr>
                <w:rFonts w:hint="eastAsia" w:ascii="黑体" w:hAnsi="黑体" w:eastAsia="黑体" w:cs="黑体"/>
                <w:b/>
                <w:bCs w:val="0"/>
                <w:sz w:val="28"/>
                <w:szCs w:val="28"/>
                <w:highlight w:val="none"/>
                <w:u w:val="single"/>
              </w:rPr>
              <w:t>如有</w:t>
            </w:r>
            <w:r>
              <w:rPr>
                <w:rFonts w:hint="eastAsia" w:ascii="黑体" w:hAnsi="黑体" w:eastAsia="黑体" w:cs="黑体"/>
                <w:b/>
                <w:bCs w:val="0"/>
                <w:sz w:val="28"/>
                <w:szCs w:val="28"/>
                <w:highlight w:val="none"/>
                <w:u w:val="single"/>
                <w:lang w:eastAsia="zh-CN"/>
              </w:rPr>
              <w:t>）</w:t>
            </w:r>
            <w:r>
              <w:rPr>
                <w:rFonts w:hint="eastAsia" w:ascii="黑体" w:hAnsi="黑体" w:eastAsia="黑体" w:cs="黑体"/>
                <w:b/>
                <w:bCs w:val="0"/>
                <w:sz w:val="28"/>
                <w:szCs w:val="28"/>
                <w:highlight w:val="none"/>
                <w:u w:val="single"/>
              </w:rPr>
              <w:t>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cs="黑体"/>
                <w:b/>
                <w:bCs w:val="0"/>
                <w:sz w:val="28"/>
                <w:szCs w:val="28"/>
                <w:highlight w:val="none"/>
                <w:u w:val="single"/>
              </w:rPr>
              <w:t>五、本说明书在法律许可的范围内由华夏理财方负责解释。</w:t>
            </w:r>
          </w:p>
        </w:tc>
      </w:tr>
    </w:tbl>
    <w:p>
      <w:pPr>
        <w:pStyle w:val="6"/>
        <w:adjustRightInd w:val="0"/>
        <w:snapToGrid w:val="0"/>
        <w:spacing w:line="400" w:lineRule="exact"/>
        <w:ind w:firstLine="0"/>
        <w:jc w:val="center"/>
        <w:rPr>
          <w:rFonts w:eastAsia="黑体"/>
          <w:bCs/>
          <w:kern w:val="2"/>
          <w:sz w:val="36"/>
          <w:szCs w:val="36"/>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华夏理财固定收益纯债最短持有7天理财产品A款</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A份额简称：“华夏理财固收纯债最短持有7天A款A”</w:t>
            </w:r>
          </w:p>
          <w:p>
            <w:pPr>
              <w:adjustRightInd w:val="0"/>
              <w:snapToGrid w:val="0"/>
              <w:spacing w:line="240" w:lineRule="atLeast"/>
              <w:jc w:val="center"/>
              <w:rPr>
                <w:rFonts w:ascii="仿宋" w:hAnsi="仿宋" w:eastAsia="仿宋"/>
                <w:b/>
                <w:bCs/>
                <w:szCs w:val="21"/>
              </w:rPr>
            </w:pPr>
            <w:r>
              <w:rPr>
                <w:rFonts w:ascii="仿宋" w:hAnsi="仿宋" w:eastAsia="仿宋"/>
                <w:b/>
                <w:bCs/>
                <w:szCs w:val="21"/>
              </w:rPr>
              <w:t>B</w:t>
            </w:r>
            <w:r>
              <w:rPr>
                <w:rFonts w:hint="eastAsia" w:ascii="仿宋" w:hAnsi="仿宋" w:eastAsia="仿宋"/>
                <w:b/>
                <w:bCs/>
                <w:szCs w:val="21"/>
              </w:rPr>
              <w:t>份额简称：“华夏理财固收纯债最短持有7天A款</w:t>
            </w:r>
            <w:r>
              <w:rPr>
                <w:rFonts w:ascii="仿宋" w:hAnsi="仿宋" w:eastAsia="仿宋"/>
                <w:b/>
                <w:bCs/>
                <w:szCs w:val="21"/>
              </w:rPr>
              <w:t>B</w:t>
            </w:r>
            <w:r>
              <w:rPr>
                <w:rFonts w:hint="eastAsia" w:ascii="仿宋" w:hAnsi="仿宋" w:eastAsia="仿宋"/>
                <w:b/>
                <w:bCs/>
                <w:szCs w:val="21"/>
              </w:rPr>
              <w:t>”</w:t>
            </w:r>
          </w:p>
          <w:p>
            <w:pPr>
              <w:adjustRightInd w:val="0"/>
              <w:snapToGrid w:val="0"/>
              <w:spacing w:line="240" w:lineRule="atLeast"/>
              <w:jc w:val="center"/>
              <w:rPr>
                <w:rFonts w:ascii="仿宋" w:hAnsi="仿宋" w:eastAsia="仿宋"/>
                <w:b/>
                <w:bCs/>
                <w:szCs w:val="21"/>
              </w:rPr>
            </w:pPr>
            <w:r>
              <w:rPr>
                <w:rFonts w:ascii="仿宋" w:hAnsi="仿宋" w:eastAsia="仿宋"/>
                <w:b/>
                <w:bCs/>
                <w:szCs w:val="21"/>
              </w:rPr>
              <w:t>C</w:t>
            </w:r>
            <w:r>
              <w:rPr>
                <w:rFonts w:hint="eastAsia" w:ascii="仿宋" w:hAnsi="仿宋" w:eastAsia="仿宋"/>
                <w:b/>
                <w:bCs/>
                <w:szCs w:val="21"/>
              </w:rPr>
              <w:t>份额简称：“华夏理财固收纯债最短持有7天A款</w:t>
            </w:r>
            <w:r>
              <w:rPr>
                <w:rFonts w:ascii="仿宋" w:hAnsi="仿宋" w:eastAsia="仿宋"/>
                <w:b/>
                <w:bCs/>
                <w:szCs w:val="21"/>
              </w:rPr>
              <w:t>C</w:t>
            </w:r>
            <w:r>
              <w:rPr>
                <w:rFonts w:hint="eastAsia" w:ascii="仿宋" w:hAnsi="仿宋" w:eastAsia="仿宋"/>
                <w:b/>
                <w:bCs/>
                <w:szCs w:val="21"/>
              </w:rPr>
              <w:t>”</w:t>
            </w:r>
          </w:p>
          <w:p>
            <w:pPr>
              <w:adjustRightInd w:val="0"/>
              <w:snapToGrid w:val="0"/>
              <w:spacing w:line="240" w:lineRule="atLeast"/>
              <w:jc w:val="center"/>
              <w:rPr>
                <w:rFonts w:ascii="仿宋" w:hAnsi="仿宋" w:eastAsia="仿宋"/>
                <w:b/>
                <w:bCs/>
                <w:szCs w:val="21"/>
              </w:rPr>
            </w:pPr>
            <w:r>
              <w:rPr>
                <w:rFonts w:ascii="仿宋" w:hAnsi="仿宋" w:eastAsia="仿宋"/>
                <w:b/>
                <w:bCs/>
                <w:szCs w:val="21"/>
              </w:rPr>
              <w:t>D</w:t>
            </w:r>
            <w:r>
              <w:rPr>
                <w:rFonts w:hint="eastAsia" w:ascii="仿宋" w:hAnsi="仿宋" w:eastAsia="仿宋"/>
                <w:b/>
                <w:bCs/>
                <w:szCs w:val="21"/>
              </w:rPr>
              <w:t>份额简称：“华夏理财固收纯债最短持有7天A款</w:t>
            </w:r>
            <w:r>
              <w:rPr>
                <w:rFonts w:ascii="仿宋" w:hAnsi="仿宋" w:eastAsia="仿宋"/>
                <w:b/>
                <w:bCs/>
                <w:szCs w:val="21"/>
              </w:rPr>
              <w:t>D</w:t>
            </w:r>
            <w:r>
              <w:rPr>
                <w:rFonts w:hint="eastAsia" w:ascii="仿宋" w:hAnsi="仿宋" w:eastAsia="仿宋"/>
                <w:b/>
                <w:bCs/>
                <w:szCs w:val="21"/>
              </w:rPr>
              <w:t>”</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H份额简称：“华夏理财固收纯债最短持有7天A款H”</w:t>
            </w:r>
          </w:p>
          <w:p>
            <w:pPr>
              <w:adjustRightInd w:val="0"/>
              <w:snapToGrid w:val="0"/>
              <w:spacing w:line="240" w:lineRule="atLeast"/>
              <w:jc w:val="center"/>
              <w:rPr>
                <w:rFonts w:hint="eastAsia" w:ascii="仿宋" w:hAnsi="仿宋" w:eastAsia="仿宋"/>
                <w:b/>
                <w:bCs/>
                <w:szCs w:val="21"/>
              </w:rPr>
            </w:pPr>
            <w:r>
              <w:rPr>
                <w:rFonts w:ascii="仿宋" w:hAnsi="仿宋" w:eastAsia="仿宋"/>
                <w:b/>
                <w:bCs/>
                <w:szCs w:val="21"/>
              </w:rPr>
              <w:t>M</w:t>
            </w:r>
            <w:r>
              <w:rPr>
                <w:rFonts w:hint="eastAsia" w:ascii="仿宋" w:hAnsi="仿宋" w:eastAsia="仿宋"/>
                <w:b/>
                <w:bCs/>
                <w:szCs w:val="21"/>
              </w:rPr>
              <w:t>份额简称：“华夏理财固收纯债最短持有7天A款</w:t>
            </w:r>
            <w:r>
              <w:rPr>
                <w:rFonts w:ascii="仿宋" w:hAnsi="仿宋" w:eastAsia="仿宋"/>
                <w:b/>
                <w:bCs/>
                <w:szCs w:val="21"/>
              </w:rPr>
              <w:t>M</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O</w:t>
            </w:r>
            <w:r>
              <w:rPr>
                <w:rFonts w:hint="eastAsia" w:ascii="仿宋" w:hAnsi="仿宋" w:eastAsia="仿宋"/>
                <w:b/>
                <w:bCs/>
                <w:szCs w:val="21"/>
              </w:rPr>
              <w:t>份额简称：“华夏理财固收纯债最短持有7天A款</w:t>
            </w:r>
            <w:r>
              <w:rPr>
                <w:rFonts w:hint="eastAsia" w:ascii="仿宋" w:hAnsi="仿宋" w:eastAsia="仿宋"/>
                <w:b/>
                <w:bCs/>
                <w:szCs w:val="21"/>
                <w:lang w:val="en-US" w:eastAsia="zh-CN"/>
              </w:rPr>
              <w:t>O</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W</w:t>
            </w:r>
            <w:r>
              <w:rPr>
                <w:rFonts w:hint="eastAsia" w:ascii="仿宋" w:hAnsi="仿宋" w:eastAsia="仿宋"/>
                <w:b/>
                <w:bCs/>
                <w:szCs w:val="21"/>
              </w:rPr>
              <w:t>份额简称：“华夏理财固收纯债最短持有7天A款</w:t>
            </w:r>
            <w:r>
              <w:rPr>
                <w:rFonts w:hint="eastAsia" w:ascii="仿宋" w:hAnsi="仿宋" w:eastAsia="仿宋"/>
                <w:b/>
                <w:bCs/>
                <w:szCs w:val="21"/>
                <w:lang w:val="en-US" w:eastAsia="zh-CN"/>
              </w:rPr>
              <w:t>W</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Y</w:t>
            </w:r>
            <w:r>
              <w:rPr>
                <w:rFonts w:hint="eastAsia" w:ascii="仿宋" w:hAnsi="仿宋" w:eastAsia="仿宋"/>
                <w:b/>
                <w:bCs/>
                <w:szCs w:val="21"/>
              </w:rPr>
              <w:t>份额简称：“华夏理财固收纯债最短持有7天A款</w:t>
            </w:r>
            <w:r>
              <w:rPr>
                <w:rFonts w:hint="eastAsia" w:ascii="仿宋" w:hAnsi="仿宋" w:eastAsia="仿宋"/>
                <w:b/>
                <w:bCs/>
                <w:szCs w:val="21"/>
                <w:lang w:val="en-US" w:eastAsia="zh-CN"/>
              </w:rPr>
              <w:t>Y</w:t>
            </w:r>
            <w:r>
              <w:rPr>
                <w:rFonts w:hint="eastAsia" w:ascii="仿宋" w:hAnsi="仿宋" w:eastAsia="仿宋"/>
                <w:b/>
                <w:bCs/>
                <w:szCs w:val="21"/>
              </w:rPr>
              <w:t>”</w:t>
            </w:r>
          </w:p>
          <w:p>
            <w:pPr>
              <w:adjustRightInd w:val="0"/>
              <w:snapToGrid w:val="0"/>
              <w:spacing w:line="240" w:lineRule="atLeast"/>
              <w:jc w:val="center"/>
              <w:rPr>
                <w:rFonts w:ascii="仿宋" w:hAnsi="仿宋" w:eastAsia="仿宋"/>
                <w:b/>
                <w:bCs/>
                <w:szCs w:val="21"/>
              </w:rPr>
            </w:pPr>
            <w:r>
              <w:rPr>
                <w:rFonts w:ascii="仿宋" w:hAnsi="仿宋" w:eastAsia="仿宋"/>
                <w:b/>
                <w:bCs/>
                <w:szCs w:val="21"/>
              </w:rPr>
              <w:t>Z</w:t>
            </w:r>
            <w:r>
              <w:rPr>
                <w:rFonts w:hint="eastAsia" w:ascii="仿宋" w:hAnsi="仿宋" w:eastAsia="仿宋"/>
                <w:b/>
                <w:bCs/>
                <w:szCs w:val="21"/>
              </w:rPr>
              <w:t>份额简称：“华夏理财固收纯债最短持有7天A款</w:t>
            </w:r>
            <w:r>
              <w:rPr>
                <w:rFonts w:ascii="仿宋" w:hAnsi="仿宋" w:eastAsia="仿宋"/>
                <w:b/>
                <w:bCs/>
                <w:szCs w:val="21"/>
              </w:rPr>
              <w:t>Z</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22115003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A份额：</w:t>
            </w:r>
            <w:r>
              <w:rPr>
                <w:rFonts w:ascii="仿宋" w:hAnsi="仿宋" w:eastAsia="仿宋"/>
                <w:bCs/>
                <w:szCs w:val="21"/>
              </w:rPr>
              <w:t>22115003A</w:t>
            </w:r>
            <w:r>
              <w:rPr>
                <w:rFonts w:hint="eastAsia" w:ascii="仿宋" w:hAnsi="仿宋" w:eastAsia="仿宋"/>
                <w:bCs/>
                <w:szCs w:val="21"/>
              </w:rPr>
              <w:t>（面对华夏银行渠道销售）</w:t>
            </w:r>
          </w:p>
          <w:p>
            <w:pPr>
              <w:keepNext/>
              <w:adjustRightInd w:val="0"/>
              <w:snapToGrid w:val="0"/>
              <w:spacing w:line="300" w:lineRule="exact"/>
              <w:jc w:val="center"/>
              <w:rPr>
                <w:rFonts w:ascii="仿宋" w:hAnsi="仿宋" w:eastAsia="仿宋"/>
                <w:bCs/>
                <w:szCs w:val="21"/>
              </w:rPr>
            </w:pPr>
            <w:r>
              <w:rPr>
                <w:rFonts w:ascii="仿宋" w:hAnsi="仿宋" w:eastAsia="仿宋"/>
                <w:bCs/>
                <w:szCs w:val="21"/>
              </w:rPr>
              <w:t>B</w:t>
            </w:r>
            <w:r>
              <w:rPr>
                <w:rFonts w:hint="eastAsia" w:ascii="仿宋" w:hAnsi="仿宋" w:eastAsia="仿宋"/>
                <w:bCs/>
                <w:szCs w:val="21"/>
              </w:rPr>
              <w:t>份额：</w:t>
            </w:r>
            <w:r>
              <w:rPr>
                <w:rFonts w:ascii="仿宋" w:hAnsi="仿宋" w:eastAsia="仿宋"/>
                <w:bCs/>
                <w:szCs w:val="21"/>
              </w:rPr>
              <w:t>22115003B</w:t>
            </w:r>
          </w:p>
          <w:p>
            <w:pPr>
              <w:keepNext/>
              <w:adjustRightInd w:val="0"/>
              <w:snapToGrid w:val="0"/>
              <w:spacing w:line="300" w:lineRule="exact"/>
              <w:jc w:val="center"/>
              <w:rPr>
                <w:rFonts w:ascii="仿宋" w:hAnsi="仿宋" w:eastAsia="仿宋"/>
                <w:bCs/>
                <w:szCs w:val="21"/>
              </w:rPr>
            </w:pPr>
            <w:r>
              <w:rPr>
                <w:rFonts w:ascii="仿宋" w:hAnsi="仿宋" w:eastAsia="仿宋"/>
                <w:bCs/>
                <w:szCs w:val="21"/>
              </w:rPr>
              <w:t>C</w:t>
            </w:r>
            <w:r>
              <w:rPr>
                <w:rFonts w:hint="eastAsia" w:ascii="仿宋" w:hAnsi="仿宋" w:eastAsia="仿宋"/>
                <w:bCs/>
                <w:szCs w:val="21"/>
              </w:rPr>
              <w:t>份额：</w:t>
            </w:r>
            <w:r>
              <w:rPr>
                <w:rFonts w:ascii="仿宋" w:hAnsi="仿宋" w:eastAsia="仿宋"/>
                <w:bCs/>
                <w:szCs w:val="21"/>
              </w:rPr>
              <w:t>22115003C</w:t>
            </w:r>
            <w:r>
              <w:rPr>
                <w:rFonts w:hint="eastAsia" w:ascii="仿宋" w:hAnsi="仿宋" w:eastAsia="仿宋"/>
                <w:bCs/>
                <w:szCs w:val="21"/>
              </w:rPr>
              <w:t>（面对中信银行渠道销售）</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D份额：</w:t>
            </w:r>
            <w:r>
              <w:rPr>
                <w:rFonts w:ascii="仿宋" w:hAnsi="仿宋" w:eastAsia="仿宋"/>
                <w:bCs/>
                <w:szCs w:val="21"/>
              </w:rPr>
              <w:t>22115003D</w:t>
            </w:r>
            <w:r>
              <w:rPr>
                <w:rFonts w:hint="eastAsia" w:ascii="仿宋" w:hAnsi="仿宋" w:eastAsia="仿宋"/>
                <w:bCs/>
                <w:szCs w:val="21"/>
              </w:rPr>
              <w:t>（面对招商银行渠道销售，招商银行销售代码：HX0</w:t>
            </w:r>
            <w:r>
              <w:rPr>
                <w:rFonts w:ascii="仿宋" w:hAnsi="仿宋" w:eastAsia="仿宋"/>
                <w:bCs/>
                <w:szCs w:val="21"/>
              </w:rPr>
              <w:t>4</w:t>
            </w:r>
            <w:r>
              <w:rPr>
                <w:rFonts w:hint="eastAsia" w:ascii="仿宋" w:hAnsi="仿宋" w:eastAsia="仿宋"/>
                <w:bCs/>
                <w:szCs w:val="21"/>
              </w:rPr>
              <w:t>02</w:t>
            </w:r>
            <w:r>
              <w:rPr>
                <w:rFonts w:ascii="仿宋" w:hAnsi="仿宋" w:eastAsia="仿宋"/>
                <w:bCs/>
                <w:szCs w:val="21"/>
              </w:rPr>
              <w:t>02</w:t>
            </w:r>
            <w:r>
              <w:rPr>
                <w:rFonts w:hint="eastAsia" w:ascii="仿宋" w:hAnsi="仿宋" w:eastAsia="仿宋"/>
                <w:bCs/>
                <w:szCs w:val="21"/>
              </w:rPr>
              <w:t>）</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H份额：</w:t>
            </w:r>
            <w:r>
              <w:rPr>
                <w:rFonts w:ascii="仿宋" w:hAnsi="仿宋" w:eastAsia="仿宋"/>
                <w:bCs/>
                <w:szCs w:val="21"/>
              </w:rPr>
              <w:t>22115003</w:t>
            </w:r>
            <w:r>
              <w:rPr>
                <w:rFonts w:hint="eastAsia" w:ascii="仿宋" w:hAnsi="仿宋" w:eastAsia="仿宋"/>
                <w:bCs/>
                <w:szCs w:val="21"/>
              </w:rPr>
              <w:t>H（面对华夏银行高净值客户销售）</w:t>
            </w:r>
          </w:p>
          <w:p>
            <w:pPr>
              <w:keepNext/>
              <w:adjustRightInd w:val="0"/>
              <w:snapToGrid w:val="0"/>
              <w:spacing w:line="300" w:lineRule="exact"/>
              <w:jc w:val="center"/>
              <w:rPr>
                <w:rFonts w:hint="eastAsia" w:ascii="仿宋" w:hAnsi="仿宋" w:eastAsia="仿宋"/>
                <w:bCs/>
                <w:szCs w:val="21"/>
              </w:rPr>
            </w:pPr>
            <w:r>
              <w:rPr>
                <w:rFonts w:ascii="仿宋" w:hAnsi="仿宋" w:eastAsia="仿宋"/>
                <w:bCs/>
                <w:szCs w:val="21"/>
              </w:rPr>
              <w:t>M</w:t>
            </w:r>
            <w:r>
              <w:rPr>
                <w:rFonts w:hint="eastAsia" w:ascii="仿宋" w:hAnsi="仿宋" w:eastAsia="仿宋"/>
                <w:bCs/>
                <w:szCs w:val="21"/>
              </w:rPr>
              <w:t>份额：</w:t>
            </w:r>
            <w:r>
              <w:rPr>
                <w:rFonts w:ascii="仿宋" w:hAnsi="仿宋" w:eastAsia="仿宋"/>
                <w:bCs/>
                <w:szCs w:val="21"/>
              </w:rPr>
              <w:t>22115003M</w:t>
            </w:r>
            <w:r>
              <w:rPr>
                <w:rFonts w:hint="eastAsia" w:ascii="仿宋" w:hAnsi="仿宋" w:eastAsia="仿宋"/>
                <w:bCs/>
                <w:szCs w:val="21"/>
              </w:rPr>
              <w:t>（面对民生银行客户销售）</w:t>
            </w:r>
          </w:p>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lang w:val="en-US" w:eastAsia="zh-CN"/>
              </w:rPr>
              <w:t>O</w:t>
            </w:r>
            <w:r>
              <w:rPr>
                <w:rFonts w:hint="eastAsia" w:ascii="仿宋" w:hAnsi="仿宋" w:eastAsia="仿宋"/>
                <w:bCs/>
                <w:szCs w:val="21"/>
              </w:rPr>
              <w:t>份额：</w:t>
            </w:r>
            <w:r>
              <w:rPr>
                <w:rFonts w:ascii="仿宋" w:hAnsi="仿宋" w:eastAsia="仿宋"/>
                <w:bCs/>
                <w:szCs w:val="21"/>
              </w:rPr>
              <w:t>2211500</w:t>
            </w:r>
            <w:r>
              <w:rPr>
                <w:rFonts w:hint="eastAsia" w:ascii="仿宋" w:hAnsi="仿宋" w:eastAsia="仿宋"/>
                <w:bCs/>
                <w:szCs w:val="21"/>
                <w:lang w:val="en-US" w:eastAsia="zh-CN"/>
              </w:rPr>
              <w:t>3O</w:t>
            </w:r>
            <w:r>
              <w:rPr>
                <w:rFonts w:hint="eastAsia" w:ascii="仿宋" w:hAnsi="仿宋" w:eastAsia="仿宋"/>
                <w:bCs/>
                <w:szCs w:val="21"/>
              </w:rPr>
              <w:t>（面对</w:t>
            </w:r>
            <w:r>
              <w:rPr>
                <w:rFonts w:hint="eastAsia" w:ascii="仿宋" w:hAnsi="仿宋" w:eastAsia="仿宋"/>
                <w:bCs/>
                <w:szCs w:val="21"/>
                <w:lang w:val="en-US" w:eastAsia="zh-CN"/>
              </w:rPr>
              <w:t>宁波</w:t>
            </w:r>
            <w:r>
              <w:rPr>
                <w:rFonts w:hint="eastAsia" w:ascii="仿宋" w:hAnsi="仿宋" w:eastAsia="仿宋"/>
                <w:bCs/>
                <w:szCs w:val="21"/>
              </w:rPr>
              <w:t>银行</w:t>
            </w:r>
            <w:r>
              <w:rPr>
                <w:rFonts w:hint="eastAsia" w:ascii="仿宋" w:hAnsi="仿宋" w:eastAsia="仿宋"/>
                <w:bCs/>
                <w:szCs w:val="21"/>
                <w:lang w:val="en-US" w:eastAsia="zh-CN"/>
              </w:rPr>
              <w:t>渠道</w:t>
            </w:r>
            <w:r>
              <w:rPr>
                <w:rFonts w:hint="eastAsia" w:ascii="仿宋" w:hAnsi="仿宋" w:eastAsia="仿宋"/>
                <w:bCs/>
                <w:szCs w:val="21"/>
              </w:rPr>
              <w:t>销售）</w:t>
            </w:r>
          </w:p>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lang w:val="en-US" w:eastAsia="zh-CN"/>
              </w:rPr>
              <w:t>W</w:t>
            </w:r>
            <w:r>
              <w:rPr>
                <w:rFonts w:hint="eastAsia" w:ascii="仿宋" w:hAnsi="仿宋" w:eastAsia="仿宋"/>
                <w:bCs/>
                <w:szCs w:val="21"/>
              </w:rPr>
              <w:t>份额：</w:t>
            </w:r>
            <w:r>
              <w:rPr>
                <w:rFonts w:ascii="仿宋" w:hAnsi="仿宋" w:eastAsia="仿宋"/>
                <w:bCs/>
                <w:szCs w:val="21"/>
              </w:rPr>
              <w:t>2211500</w:t>
            </w:r>
            <w:r>
              <w:rPr>
                <w:rFonts w:hint="eastAsia" w:ascii="仿宋" w:hAnsi="仿宋" w:eastAsia="仿宋"/>
                <w:bCs/>
                <w:szCs w:val="21"/>
                <w:lang w:val="en-US" w:eastAsia="zh-CN"/>
              </w:rPr>
              <w:t>3W</w:t>
            </w:r>
            <w:r>
              <w:rPr>
                <w:rFonts w:hint="eastAsia" w:ascii="仿宋" w:hAnsi="仿宋" w:eastAsia="仿宋"/>
                <w:bCs/>
                <w:szCs w:val="21"/>
              </w:rPr>
              <w:t>（面对</w:t>
            </w:r>
            <w:r>
              <w:rPr>
                <w:rFonts w:hint="eastAsia" w:ascii="仿宋" w:hAnsi="仿宋" w:eastAsia="仿宋"/>
                <w:bCs/>
                <w:szCs w:val="21"/>
                <w:lang w:val="en-US" w:eastAsia="zh-CN"/>
              </w:rPr>
              <w:t>网商</w:t>
            </w:r>
            <w:r>
              <w:rPr>
                <w:rFonts w:hint="eastAsia" w:ascii="仿宋" w:hAnsi="仿宋" w:eastAsia="仿宋"/>
                <w:bCs/>
                <w:szCs w:val="21"/>
              </w:rPr>
              <w:t>银行</w:t>
            </w:r>
            <w:r>
              <w:rPr>
                <w:rFonts w:hint="eastAsia" w:ascii="仿宋" w:hAnsi="仿宋" w:eastAsia="仿宋"/>
                <w:bCs/>
                <w:szCs w:val="21"/>
                <w:lang w:val="en-US" w:eastAsia="zh-CN"/>
              </w:rPr>
              <w:t>渠道</w:t>
            </w:r>
            <w:r>
              <w:rPr>
                <w:rFonts w:hint="eastAsia" w:ascii="仿宋" w:hAnsi="仿宋" w:eastAsia="仿宋"/>
                <w:bCs/>
                <w:szCs w:val="21"/>
              </w:rPr>
              <w:t>销售）</w:t>
            </w:r>
          </w:p>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lang w:val="en-US" w:eastAsia="zh-CN"/>
              </w:rPr>
              <w:t>Y</w:t>
            </w:r>
            <w:r>
              <w:rPr>
                <w:rFonts w:hint="eastAsia" w:ascii="仿宋" w:hAnsi="仿宋" w:eastAsia="仿宋"/>
                <w:bCs/>
                <w:szCs w:val="21"/>
              </w:rPr>
              <w:t>份额：</w:t>
            </w:r>
            <w:r>
              <w:rPr>
                <w:rFonts w:ascii="仿宋" w:hAnsi="仿宋" w:eastAsia="仿宋"/>
                <w:bCs/>
                <w:szCs w:val="21"/>
              </w:rPr>
              <w:t>2211500</w:t>
            </w:r>
            <w:r>
              <w:rPr>
                <w:rFonts w:hint="eastAsia" w:ascii="仿宋" w:hAnsi="仿宋" w:eastAsia="仿宋"/>
                <w:bCs/>
                <w:szCs w:val="21"/>
                <w:lang w:val="en-US" w:eastAsia="zh-CN"/>
              </w:rPr>
              <w:t>3Y</w:t>
            </w:r>
            <w:r>
              <w:rPr>
                <w:rFonts w:hint="eastAsia" w:ascii="仿宋" w:hAnsi="仿宋" w:eastAsia="仿宋"/>
                <w:bCs/>
                <w:szCs w:val="21"/>
              </w:rPr>
              <w:t>（面对华夏</w:t>
            </w:r>
            <w:r>
              <w:rPr>
                <w:rFonts w:ascii="仿宋" w:hAnsi="仿宋" w:eastAsia="仿宋"/>
                <w:bCs/>
                <w:szCs w:val="21"/>
              </w:rPr>
              <w:t>理财直销</w:t>
            </w:r>
            <w:r>
              <w:rPr>
                <w:rFonts w:hint="eastAsia" w:ascii="仿宋" w:hAnsi="仿宋" w:eastAsia="仿宋"/>
                <w:bCs/>
                <w:szCs w:val="21"/>
                <w:lang w:val="en-US" w:eastAsia="zh-CN"/>
              </w:rPr>
              <w:t>渠道</w:t>
            </w:r>
            <w:r>
              <w:rPr>
                <w:rFonts w:hint="eastAsia" w:ascii="仿宋" w:hAnsi="仿宋" w:eastAsia="仿宋"/>
                <w:bCs/>
                <w:szCs w:val="21"/>
              </w:rPr>
              <w:t>销售）</w:t>
            </w:r>
          </w:p>
          <w:p>
            <w:pPr>
              <w:keepNext/>
              <w:adjustRightInd w:val="0"/>
              <w:snapToGrid w:val="0"/>
              <w:spacing w:line="300" w:lineRule="exact"/>
              <w:jc w:val="center"/>
              <w:rPr>
                <w:rFonts w:ascii="仿宋" w:hAnsi="仿宋" w:eastAsia="仿宋"/>
                <w:bCs/>
                <w:szCs w:val="21"/>
              </w:rPr>
            </w:pPr>
            <w:r>
              <w:rPr>
                <w:rFonts w:ascii="仿宋" w:hAnsi="仿宋" w:eastAsia="仿宋"/>
                <w:bCs/>
                <w:szCs w:val="21"/>
              </w:rPr>
              <w:t>Z</w:t>
            </w:r>
            <w:r>
              <w:rPr>
                <w:rFonts w:hint="eastAsia" w:ascii="仿宋" w:hAnsi="仿宋" w:eastAsia="仿宋"/>
                <w:bCs/>
                <w:szCs w:val="21"/>
              </w:rPr>
              <w:t>份额：</w:t>
            </w:r>
            <w:r>
              <w:rPr>
                <w:rFonts w:ascii="仿宋" w:hAnsi="仿宋" w:eastAsia="仿宋"/>
                <w:bCs/>
                <w:szCs w:val="21"/>
              </w:rPr>
              <w:t>22115003Z</w:t>
            </w:r>
            <w:r>
              <w:rPr>
                <w:rFonts w:hint="eastAsia" w:ascii="仿宋" w:hAnsi="仿宋" w:eastAsia="仿宋"/>
                <w:bCs/>
                <w:szCs w:val="21"/>
              </w:rPr>
              <w:t>（面对华夏</w:t>
            </w:r>
            <w:r>
              <w:rPr>
                <w:rFonts w:ascii="仿宋" w:hAnsi="仿宋" w:eastAsia="仿宋"/>
                <w:bCs/>
                <w:szCs w:val="21"/>
              </w:rPr>
              <w:t>理财直销渠道</w:t>
            </w:r>
            <w:r>
              <w:rPr>
                <w:rFonts w:hint="eastAsia" w:ascii="仿宋" w:hAnsi="仿宋" w:eastAsia="仿宋"/>
                <w:bCs/>
                <w:szCs w:val="21"/>
              </w:rPr>
              <w:t>销售）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Z7003922000023</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w:t>
            </w:r>
            <w:r>
              <w:rPr>
                <w:rFonts w:ascii="仿宋" w:hAnsi="仿宋" w:eastAsia="仿宋"/>
                <w:bCs/>
                <w:szCs w:val="21"/>
              </w:rPr>
              <w:t>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rPr>
              <w:t xml:space="preserve"> </w:t>
            </w:r>
            <w:r>
              <w:rPr>
                <w:rFonts w:hint="eastAsia" w:ascii="仿宋" w:hAnsi="仿宋" w:eastAsia="仿宋"/>
                <w:bCs/>
                <w:szCs w:val="21"/>
                <w:u w:val="single"/>
              </w:rPr>
              <w:t>PR1级（低风险）</w:t>
            </w:r>
            <w:r>
              <w:rPr>
                <w:rFonts w:ascii="仿宋" w:hAnsi="仿宋" w:eastAsia="仿宋"/>
                <w:bCs/>
                <w:szCs w:val="21"/>
              </w:rPr>
              <w:t xml:space="preserve"> 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none"/>
                <w:lang w:eastAsia="zh-CN"/>
              </w:rPr>
              <w:t>【</w:t>
            </w:r>
            <w:r>
              <w:rPr>
                <w:rFonts w:hint="eastAsia" w:ascii="仿宋" w:hAnsi="仿宋" w:eastAsia="仿宋"/>
                <w:bCs/>
                <w:color w:val="000000"/>
                <w:szCs w:val="21"/>
                <w:u w:val="single"/>
              </w:rPr>
              <w:t>CR1（谨慎型）、CR2（稳健型）、CR3（平衡型）、CR4（进取型）、CR5（激进型）</w:t>
            </w:r>
            <w:r>
              <w:rPr>
                <w:rFonts w:hint="eastAsia" w:ascii="仿宋" w:hAnsi="仿宋" w:eastAsia="仿宋"/>
                <w:bCs/>
                <w:szCs w:val="21"/>
                <w:u w:val="none"/>
                <w:lang w:eastAsia="zh-CN"/>
              </w:rPr>
              <w:t>】</w:t>
            </w:r>
            <w:r>
              <w:rPr>
                <w:rFonts w:ascii="仿宋" w:hAnsi="仿宋" w:eastAsia="仿宋"/>
                <w:bCs/>
                <w:szCs w:val="21"/>
                <w:u w:val="none"/>
              </w:rPr>
              <w:t xml:space="preserve">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hint="eastAsia" w:ascii="仿宋" w:hAnsi="仿宋" w:eastAsia="仿宋"/>
                <w:b/>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p>
            <w:pPr>
              <w:adjustRightInd w:val="0"/>
              <w:snapToGrid w:val="0"/>
              <w:spacing w:line="240" w:lineRule="atLeast"/>
              <w:ind w:firstLine="420" w:firstLineChars="200"/>
              <w:rPr>
                <w:rFonts w:hint="eastAsia" w:ascii="仿宋" w:hAnsi="仿宋" w:eastAsia="仿宋"/>
                <w:b/>
                <w:bCs/>
                <w:color w:val="000000"/>
                <w:szCs w:val="21"/>
              </w:rPr>
            </w:pPr>
            <w:r>
              <w:rPr>
                <w:rFonts w:ascii="仿宋" w:hAnsi="仿宋" w:eastAsia="仿宋"/>
                <w:bCs/>
                <w:szCs w:val="21"/>
                <w:highlight w:val="none"/>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p>
            <w:pPr>
              <w:adjustRightInd w:val="0"/>
              <w:snapToGrid w:val="0"/>
              <w:spacing w:line="240" w:lineRule="atLeast"/>
              <w:jc w:val="center"/>
              <w:rPr>
                <w:rFonts w:ascii="仿宋" w:hAnsi="仿宋" w:eastAsia="仿宋"/>
                <w:bCs/>
                <w:szCs w:val="21"/>
              </w:rPr>
            </w:pP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A份额：业绩比较基准为</w:t>
            </w:r>
            <w:r>
              <w:rPr>
                <w:rFonts w:hint="eastAsia" w:ascii="仿宋" w:hAnsi="仿宋" w:eastAsia="仿宋" w:cs="Cambria"/>
                <w:bCs/>
                <w:szCs w:val="21"/>
                <w:lang w:val="en-US" w:eastAsia="zh-CN"/>
              </w:rPr>
              <w:t>1.00%-2.25%</w:t>
            </w:r>
            <w:r>
              <w:rPr>
                <w:rFonts w:hint="eastAsia" w:ascii="仿宋" w:hAnsi="仿宋" w:eastAsia="仿宋" w:cs="Cambria"/>
                <w:bCs/>
                <w:szCs w:val="21"/>
              </w:rPr>
              <w:t>（年化）；</w:t>
            </w:r>
            <w:r>
              <w:rPr>
                <w:rFonts w:ascii="仿宋" w:hAnsi="仿宋" w:eastAsia="仿宋" w:cs="Cambria"/>
                <w:bCs/>
                <w:szCs w:val="21"/>
              </w:rPr>
              <w:t>B</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1.00%-2.25%</w:t>
            </w:r>
            <w:r>
              <w:rPr>
                <w:rFonts w:hint="eastAsia" w:ascii="仿宋" w:hAnsi="仿宋" w:eastAsia="仿宋" w:cs="Cambria"/>
                <w:bCs/>
                <w:szCs w:val="21"/>
              </w:rPr>
              <w:t>（年化）；</w:t>
            </w:r>
            <w:r>
              <w:rPr>
                <w:rFonts w:ascii="仿宋" w:hAnsi="仿宋" w:eastAsia="仿宋" w:cs="Cambria"/>
                <w:bCs/>
                <w:szCs w:val="21"/>
              </w:rPr>
              <w:t>C</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1.15%-2.40%</w:t>
            </w:r>
            <w:r>
              <w:rPr>
                <w:rFonts w:hint="eastAsia" w:ascii="仿宋" w:hAnsi="仿宋" w:eastAsia="仿宋" w:cs="Cambria"/>
                <w:bCs/>
                <w:szCs w:val="21"/>
              </w:rPr>
              <w:t>（年化）；</w:t>
            </w:r>
            <w:r>
              <w:rPr>
                <w:rFonts w:ascii="仿宋" w:hAnsi="仿宋" w:eastAsia="仿宋" w:cs="Cambria"/>
                <w:bCs/>
                <w:szCs w:val="21"/>
              </w:rPr>
              <w:t>D</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1.15%-2.40%</w:t>
            </w:r>
            <w:r>
              <w:rPr>
                <w:rFonts w:hint="eastAsia" w:ascii="仿宋" w:hAnsi="仿宋" w:eastAsia="仿宋" w:cs="Cambria"/>
                <w:bCs/>
                <w:szCs w:val="21"/>
              </w:rPr>
              <w:t>（年化）；H份额：业绩比较基准为</w:t>
            </w:r>
            <w:r>
              <w:rPr>
                <w:rFonts w:hint="eastAsia" w:ascii="仿宋" w:hAnsi="仿宋" w:eastAsia="仿宋" w:cs="Cambria"/>
                <w:bCs/>
                <w:szCs w:val="21"/>
                <w:lang w:val="en-US" w:eastAsia="zh-CN"/>
              </w:rPr>
              <w:t>1.20%-2.45%</w:t>
            </w:r>
            <w:r>
              <w:rPr>
                <w:rFonts w:hint="eastAsia" w:ascii="仿宋" w:hAnsi="仿宋" w:eastAsia="仿宋" w:cs="Cambria"/>
                <w:bCs/>
                <w:szCs w:val="21"/>
              </w:rPr>
              <w:t>（年化）；M份额：业绩比较基准为</w:t>
            </w:r>
            <w:r>
              <w:rPr>
                <w:rFonts w:hint="eastAsia" w:ascii="仿宋" w:hAnsi="仿宋" w:eastAsia="仿宋" w:cs="Cambria"/>
                <w:bCs/>
                <w:szCs w:val="21"/>
                <w:lang w:val="en-US" w:eastAsia="zh-CN"/>
              </w:rPr>
              <w:t>1.00%-2.25%</w:t>
            </w:r>
            <w:r>
              <w:rPr>
                <w:rFonts w:hint="eastAsia" w:ascii="仿宋" w:hAnsi="仿宋" w:eastAsia="仿宋" w:cs="Cambria"/>
                <w:bCs/>
                <w:szCs w:val="21"/>
              </w:rPr>
              <w:t>（年化）；</w:t>
            </w:r>
            <w:r>
              <w:rPr>
                <w:rFonts w:hint="eastAsia" w:ascii="仿宋" w:hAnsi="仿宋" w:eastAsia="仿宋" w:cs="Cambria"/>
                <w:bCs/>
                <w:szCs w:val="21"/>
                <w:lang w:val="en-US" w:eastAsia="zh-CN"/>
              </w:rPr>
              <w:t>O</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1.15%-2.40%</w:t>
            </w:r>
            <w:r>
              <w:rPr>
                <w:rFonts w:hint="eastAsia" w:ascii="仿宋" w:hAnsi="仿宋" w:eastAsia="仿宋" w:cs="Cambria"/>
                <w:bCs/>
                <w:szCs w:val="21"/>
              </w:rPr>
              <w:t>（年化）；</w:t>
            </w:r>
            <w:r>
              <w:rPr>
                <w:rFonts w:hint="eastAsia" w:ascii="仿宋" w:hAnsi="仿宋" w:eastAsia="仿宋" w:cs="Cambria"/>
                <w:bCs/>
                <w:szCs w:val="21"/>
                <w:lang w:val="en-US" w:eastAsia="zh-CN"/>
              </w:rPr>
              <w:t>W</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0.90%-2.15%</w:t>
            </w:r>
            <w:r>
              <w:rPr>
                <w:rFonts w:hint="eastAsia" w:ascii="仿宋" w:hAnsi="仿宋" w:eastAsia="仿宋" w:cs="Cambria"/>
                <w:bCs/>
                <w:szCs w:val="21"/>
              </w:rPr>
              <w:t>（年化）；</w:t>
            </w:r>
            <w:r>
              <w:rPr>
                <w:rFonts w:hint="eastAsia" w:ascii="仿宋" w:hAnsi="仿宋" w:eastAsia="仿宋" w:cs="Cambria"/>
                <w:bCs/>
                <w:szCs w:val="21"/>
                <w:lang w:val="en-US" w:eastAsia="zh-CN"/>
              </w:rPr>
              <w:t>Y</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1.10%-2.35%</w:t>
            </w:r>
            <w:r>
              <w:rPr>
                <w:rFonts w:hint="eastAsia" w:ascii="仿宋" w:hAnsi="仿宋" w:eastAsia="仿宋" w:cs="Cambria"/>
                <w:bCs/>
                <w:szCs w:val="21"/>
              </w:rPr>
              <w:t>（年化）；</w:t>
            </w:r>
            <w:r>
              <w:rPr>
                <w:rFonts w:ascii="仿宋" w:hAnsi="仿宋" w:eastAsia="仿宋" w:cs="Cambria"/>
                <w:bCs/>
                <w:szCs w:val="21"/>
              </w:rPr>
              <w:t>Z</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1.00%-2.25%</w:t>
            </w:r>
            <w:r>
              <w:rPr>
                <w:rFonts w:hint="eastAsia" w:ascii="仿宋" w:hAnsi="仿宋" w:eastAsia="仿宋" w:cs="Cambria"/>
                <w:bCs/>
                <w:szCs w:val="21"/>
              </w:rPr>
              <w:t>（年化）。</w:t>
            </w:r>
            <w:r>
              <w:rPr>
                <w:rFonts w:hint="eastAsia" w:ascii="仿宋" w:hAnsi="仿宋" w:eastAsia="仿宋"/>
                <w:bCs/>
                <w:color w:val="000000"/>
                <w:szCs w:val="21"/>
              </w:rPr>
              <w:t>以产品投资利率债和存款类资产仓位80%-100%，信用债仓位0-20%，组合杠杆率100%-120%为例，参考中债-国债总财富指数、中债-信用债总财富指数，以及股份制银行定期存款利率，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highlight w:val="none"/>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2022年3月16日－2022年3月21日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w:t>
            </w:r>
            <w:r>
              <w:rPr>
                <w:rFonts w:hint="eastAsia" w:ascii="仿宋" w:hAnsi="仿宋" w:eastAsia="仿宋"/>
                <w:bCs/>
                <w:szCs w:val="21"/>
                <w:lang w:val="en-US" w:eastAsia="zh-CN"/>
              </w:rPr>
              <w:t>:</w:t>
            </w:r>
            <w:r>
              <w:rPr>
                <w:rFonts w:hint="eastAsia" w:ascii="仿宋" w:hAnsi="仿宋" w:eastAsia="仿宋"/>
                <w:bCs/>
                <w:szCs w:val="21"/>
              </w:rPr>
              <w:t>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2022年3月22日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
                <w:bCs/>
                <w:szCs w:val="21"/>
              </w:rPr>
            </w:pPr>
            <w:r>
              <w:rPr>
                <w:rFonts w:hint="eastAsia" w:ascii="仿宋" w:hAnsi="仿宋" w:eastAsia="仿宋"/>
                <w:bCs/>
                <w:szCs w:val="21"/>
              </w:rPr>
              <w:t>本理财产品不设置封闭期。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A份额：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ascii="仿宋" w:hAnsi="仿宋" w:eastAsia="仿宋" w:cs="Cambria"/>
                <w:bCs/>
                <w:szCs w:val="21"/>
              </w:rPr>
              <w:t>B</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C份额：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ascii="仿宋" w:hAnsi="仿宋" w:eastAsia="仿宋" w:cs="Cambria"/>
                <w:bCs/>
                <w:szCs w:val="21"/>
              </w:rPr>
              <w:t>D</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H份额：</w:t>
            </w:r>
            <w:r>
              <w:rPr>
                <w:rFonts w:hint="eastAsia" w:ascii="仿宋" w:hAnsi="仿宋" w:eastAsia="仿宋"/>
                <w:bCs/>
                <w:szCs w:val="21"/>
              </w:rPr>
              <w:t>30万元（在华夏银行渠道面向机构投资者的销售起点为3</w:t>
            </w:r>
            <w:r>
              <w:rPr>
                <w:rFonts w:ascii="仿宋" w:hAnsi="仿宋" w:eastAsia="仿宋"/>
                <w:bCs/>
                <w:szCs w:val="21"/>
              </w:rPr>
              <w:t>,</w:t>
            </w:r>
            <w:r>
              <w:rPr>
                <w:rFonts w:hint="eastAsia" w:ascii="仿宋" w:hAnsi="仿宋" w:eastAsia="仿宋"/>
                <w:bCs/>
                <w:szCs w:val="21"/>
              </w:rPr>
              <w:t>000万元），以1元的整数倍递增。</w:t>
            </w:r>
          </w:p>
          <w:p>
            <w:pPr>
              <w:adjustRightInd w:val="0"/>
              <w:snapToGrid w:val="0"/>
              <w:spacing w:line="240" w:lineRule="atLeast"/>
              <w:ind w:firstLine="420" w:firstLineChars="200"/>
              <w:rPr>
                <w:rFonts w:hint="eastAsia" w:ascii="仿宋" w:hAnsi="仿宋" w:eastAsia="仿宋"/>
                <w:bCs/>
                <w:szCs w:val="21"/>
              </w:rPr>
            </w:pPr>
            <w:r>
              <w:rPr>
                <w:rFonts w:ascii="仿宋" w:hAnsi="仿宋" w:eastAsia="仿宋" w:cs="Cambria"/>
                <w:bCs/>
                <w:szCs w:val="21"/>
              </w:rPr>
              <w:t>M</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O</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W</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Y</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ascii="仿宋" w:hAnsi="仿宋" w:eastAsia="仿宋" w:cs="Cambria"/>
                <w:bCs/>
                <w:szCs w:val="21"/>
              </w:rPr>
              <w:t>Z</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ascii="仿宋" w:hAnsi="仿宋" w:eastAsia="仿宋"/>
                <w:bCs/>
                <w:szCs w:val="21"/>
              </w:rPr>
              <w:t>1元，以1元的整数倍追加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最低保留</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
                <w:szCs w:val="21"/>
                <w:highlight w:val="none"/>
                <w:lang w:val="en-GB"/>
              </w:rPr>
              <w:t>为保护投资者的利益，在发生大额赎回等情况时，经与产品托管人协商一致，华夏理财有权临时提高产品或单个份额的份额净值精度，并在上述事项对投资者利益不再产生重大影响时，恢复说明书约定的份额净值精度。投资者可在本说明书约定的信息披露渠道查询产品份额净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highlight w:val="none"/>
              </w:rPr>
              <w:t>工作日指上海证券交易所和深圳证券交易所的交易日，且同时为银行对外办理一般对公业务的工作日</w:t>
            </w:r>
            <w:r>
              <w:rPr>
                <w:rFonts w:hint="eastAsia" w:ascii="仿宋" w:hAnsi="仿宋" w:eastAsia="仿宋"/>
                <w:bCs/>
                <w:szCs w:val="21"/>
                <w:highlight w:val="none"/>
                <w:lang w:eastAsia="zh-CN"/>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highlight w:val="none"/>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hint="eastAsia" w:ascii="仿宋" w:hAnsi="仿宋" w:eastAsia="仿宋"/>
                <w:bCs/>
                <w:szCs w:val="21"/>
              </w:rPr>
            </w:pPr>
            <w:r>
              <w:rPr>
                <w:rFonts w:hint="eastAsia" w:ascii="仿宋" w:hAnsi="仿宋" w:eastAsia="仿宋"/>
                <w:bCs/>
                <w:szCs w:val="21"/>
                <w:highlight w:val="none"/>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开放日为产品成立后每个</w:t>
            </w:r>
            <w:r>
              <w:rPr>
                <w:rFonts w:ascii="仿宋" w:hAnsi="仿宋" w:eastAsia="仿宋"/>
                <w:bCs/>
                <w:szCs w:val="21"/>
              </w:rPr>
              <w:t>工作日</w:t>
            </w:r>
            <w:r>
              <w:rPr>
                <w:rFonts w:hint="eastAsia" w:ascii="仿宋" w:hAnsi="仿宋" w:eastAsia="仿宋"/>
                <w:bCs/>
                <w:szCs w:val="21"/>
              </w:rPr>
              <w:t>，开放日如遇非工作日则顺延至下一个工作日。</w:t>
            </w:r>
          </w:p>
          <w:p>
            <w:pPr>
              <w:adjustRightInd w:val="0"/>
              <w:snapToGrid w:val="0"/>
              <w:spacing w:line="240" w:lineRule="atLeast"/>
              <w:ind w:right="-44"/>
              <w:rPr>
                <w:rFonts w:ascii="仿宋" w:hAnsi="仿宋" w:eastAsia="仿宋"/>
                <w:bCs/>
                <w:szCs w:val="21"/>
              </w:rPr>
            </w:pPr>
            <w:r>
              <w:rPr>
                <w:rFonts w:hint="eastAsia" w:ascii="仿宋" w:hAnsi="仿宋" w:eastAsia="仿宋"/>
                <w:szCs w:val="21"/>
              </w:rPr>
              <w:t xml:space="preserve">    </w:t>
            </w:r>
            <w:r>
              <w:rPr>
                <w:rFonts w:hint="eastAsia" w:ascii="仿宋" w:hAnsi="仿宋" w:eastAsia="仿宋"/>
                <w:bCs/>
                <w:szCs w:val="21"/>
              </w:rPr>
              <w:t>通过华夏银行/华夏理财购买的，</w:t>
            </w:r>
            <w:r>
              <w:rPr>
                <w:rFonts w:hint="eastAsia" w:ascii="仿宋" w:hAnsi="仿宋" w:eastAsia="仿宋"/>
                <w:szCs w:val="21"/>
              </w:rPr>
              <w:t xml:space="preserve">每个开放日的开放时间为 </w:t>
            </w:r>
            <w:r>
              <w:rPr>
                <w:rFonts w:ascii="仿宋" w:hAnsi="仿宋" w:eastAsia="仿宋"/>
                <w:u w:val="single"/>
              </w:rPr>
              <w:t>9</w:t>
            </w:r>
            <w:r>
              <w:rPr>
                <w:rFonts w:hint="eastAsia" w:ascii="仿宋" w:hAnsi="仿宋" w:eastAsia="仿宋"/>
                <w:u w:val="single"/>
              </w:rPr>
              <w:t>:00-</w:t>
            </w:r>
            <w:r>
              <w:rPr>
                <w:rFonts w:ascii="仿宋" w:hAnsi="仿宋" w:eastAsia="仿宋"/>
                <w:u w:val="single"/>
              </w:rPr>
              <w:t>15</w:t>
            </w:r>
            <w:r>
              <w:rPr>
                <w:rFonts w:hint="eastAsia" w:ascii="仿宋" w:hAnsi="仿宋" w:eastAsia="仿宋"/>
                <w:u w:val="single"/>
              </w:rPr>
              <w:t>:</w:t>
            </w:r>
            <w:r>
              <w:rPr>
                <w:rFonts w:ascii="仿宋" w:hAnsi="仿宋" w:eastAsia="仿宋"/>
                <w:u w:val="single"/>
              </w:rPr>
              <w:t>3</w:t>
            </w:r>
            <w:r>
              <w:rPr>
                <w:rFonts w:hint="eastAsia" w:ascii="仿宋" w:hAnsi="仿宋" w:eastAsia="仿宋"/>
                <w:u w:val="single"/>
              </w:rPr>
              <w:t>0</w:t>
            </w:r>
            <w:r>
              <w:rPr>
                <w:rFonts w:ascii="仿宋" w:hAnsi="仿宋" w:eastAsia="仿宋"/>
                <w:bCs/>
                <w:szCs w:val="21"/>
              </w:rPr>
              <w:t xml:space="preserve"> </w:t>
            </w:r>
            <w:r>
              <w:rPr>
                <w:rFonts w:hint="eastAsia" w:ascii="仿宋" w:hAnsi="仿宋" w:eastAsia="仿宋"/>
                <w:bCs/>
                <w:szCs w:val="21"/>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r>
              <w:rPr>
                <w:rFonts w:hint="eastAsia" w:ascii="仿宋" w:hAnsi="仿宋" w:eastAsia="仿宋"/>
                <w:szCs w:val="21"/>
              </w:rPr>
              <w:t>。</w:t>
            </w: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在本理财产品存续期间，如投资者在开放日开放时间内提交申购申请，华夏理财作为当日申购申请处理，该申请只能于当日开放时间内撤销；如投资者在开放日开放时间结束后及非开放日提交申购申请，通过华夏银行/华夏理财购买的，作为下一开放日申购申请处理，该申请只能于下一开放日开放时间结束前撤销；通过其他代销机构购买的，业务处理规则以该代销机构业务规定为准。</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最短持有期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u w:val="single"/>
              </w:rPr>
            </w:pPr>
            <w:r>
              <w:rPr>
                <w:rFonts w:ascii="仿宋" w:hAnsi="仿宋" w:eastAsia="仿宋"/>
                <w:bCs/>
                <w:szCs w:val="21"/>
                <w:u w:val="single"/>
              </w:rPr>
              <w:t>7</w:t>
            </w:r>
            <w:r>
              <w:rPr>
                <w:rFonts w:hint="eastAsia" w:ascii="仿宋" w:hAnsi="仿宋" w:eastAsia="仿宋"/>
                <w:bCs/>
                <w:szCs w:val="21"/>
                <w:u w:val="single"/>
              </w:rPr>
              <w:t xml:space="preserve"> 个自然日，对投资者的每笔认/申购份额设置最短持有期限，即每笔认购份额从产品成立日（含）或每笔申购份额从申购申请确认日（含）起 </w:t>
            </w:r>
            <w:r>
              <w:rPr>
                <w:rFonts w:ascii="仿宋" w:hAnsi="仿宋" w:eastAsia="仿宋"/>
                <w:bCs/>
                <w:szCs w:val="21"/>
                <w:u w:val="single"/>
              </w:rPr>
              <w:t>7</w:t>
            </w:r>
            <w:r>
              <w:rPr>
                <w:rFonts w:hint="eastAsia" w:ascii="仿宋" w:hAnsi="仿宋" w:eastAsia="仿宋"/>
                <w:bCs/>
                <w:szCs w:val="21"/>
                <w:u w:val="single"/>
              </w:rPr>
              <w:t xml:space="preserve"> 个自然日前，投资者不能提起赎回申请；从该日起（含）之后每个开放日，客户可提交赎回申请，若该日为非开放日，则顺延至下一开放日。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申购及赎回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投资者可在产品开放日的开放时间提出申购申请；</w:t>
            </w:r>
            <w:r>
              <w:rPr>
                <w:rFonts w:hint="eastAsia" w:ascii="仿宋" w:hAnsi="仿宋" w:eastAsia="仿宋"/>
                <w:b/>
                <w:szCs w:val="21"/>
              </w:rPr>
              <w:t>投资者仅可在满足最短持有期后，在产品开放日的开放时间提出赎回申请。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adjustRightInd w:val="0"/>
              <w:snapToGrid w:val="0"/>
              <w:spacing w:line="240" w:lineRule="atLeast"/>
              <w:jc w:val="center"/>
              <w:rPr>
                <w:rFonts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本产品不支持预约购买。</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最短持有期内最后一个工作日 </w:t>
            </w:r>
            <w:r>
              <w:rPr>
                <w:rFonts w:ascii="仿宋" w:hAnsi="仿宋" w:eastAsia="仿宋"/>
                <w:u w:val="single"/>
              </w:rPr>
              <w:t>15</w:t>
            </w:r>
            <w:r>
              <w:rPr>
                <w:rFonts w:hint="eastAsia" w:ascii="仿宋" w:hAnsi="仿宋" w:eastAsia="仿宋"/>
                <w:u w:val="single"/>
              </w:rPr>
              <w:t>:</w:t>
            </w:r>
            <w:r>
              <w:rPr>
                <w:rFonts w:ascii="仿宋" w:hAnsi="仿宋" w:eastAsia="仿宋"/>
                <w:u w:val="single"/>
              </w:rPr>
              <w:t>3</w:t>
            </w:r>
            <w:r>
              <w:rPr>
                <w:rFonts w:hint="eastAsia" w:ascii="仿宋" w:hAnsi="仿宋" w:eastAsia="仿宋"/>
                <w:u w:val="single"/>
              </w:rPr>
              <w:t>0（不含）</w:t>
            </w:r>
            <w:r>
              <w:rPr>
                <w:rFonts w:ascii="仿宋" w:hAnsi="仿宋" w:eastAsia="仿宋"/>
                <w:bCs/>
                <w:szCs w:val="21"/>
              </w:rPr>
              <w:t xml:space="preserve"> </w:t>
            </w:r>
            <w:r>
              <w:rPr>
                <w:rFonts w:hint="eastAsia" w:ascii="仿宋" w:hAnsi="仿宋" w:eastAsia="仿宋"/>
                <w:bCs/>
                <w:szCs w:val="21"/>
              </w:rPr>
              <w:t>前，可接受通过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预约赎回申请，视</w:t>
            </w:r>
            <w:r>
              <w:rPr>
                <w:rFonts w:ascii="仿宋" w:hAnsi="仿宋" w:eastAsia="仿宋"/>
                <w:bCs/>
                <w:szCs w:val="21"/>
              </w:rPr>
              <w:t>同在</w:t>
            </w:r>
            <w:r>
              <w:rPr>
                <w:rFonts w:hint="eastAsia" w:ascii="仿宋" w:hAnsi="仿宋" w:eastAsia="仿宋"/>
                <w:bCs/>
                <w:szCs w:val="21"/>
              </w:rPr>
              <w:t>第一个可赎回的开放日开放时间内提交的赎回申请。</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w:t>
            </w:r>
            <w:r>
              <w:rPr>
                <w:rFonts w:ascii="仿宋" w:hAnsi="仿宋" w:eastAsia="仿宋"/>
                <w:bCs/>
                <w:szCs w:val="21"/>
              </w:rPr>
              <w:t>1日确认。T日为开放日。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w:t>
            </w:r>
            <w:r>
              <w:rPr>
                <w:rFonts w:ascii="仿宋" w:hAnsi="仿宋" w:eastAsia="仿宋"/>
                <w:bCs/>
                <w:szCs w:val="21"/>
              </w:rPr>
              <w:t>1日确认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2</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2</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szCs w:val="21"/>
              </w:rPr>
            </w:pPr>
            <w:r>
              <w:rPr>
                <w:rFonts w:ascii="仿宋" w:hAnsi="仿宋" w:eastAsia="仿宋"/>
                <w:bCs/>
                <w:szCs w:val="21"/>
              </w:rPr>
              <w:t>本理财产品采取份额赎回的方式。投资者可选择全额或部分赎回，部分赎回后投资者持有本理财产品的</w:t>
            </w:r>
            <w:r>
              <w:rPr>
                <w:rFonts w:hint="eastAsia" w:ascii="仿宋" w:hAnsi="仿宋" w:eastAsia="仿宋"/>
                <w:bCs/>
                <w:szCs w:val="21"/>
              </w:rPr>
              <w:t>日末余额</w:t>
            </w:r>
            <w:r>
              <w:rPr>
                <w:rFonts w:ascii="仿宋" w:hAnsi="仿宋" w:eastAsia="仿宋"/>
                <w:bCs/>
                <w:szCs w:val="21"/>
              </w:rPr>
              <w:t>低于理财账户最低保留</w:t>
            </w:r>
            <w:r>
              <w:rPr>
                <w:rFonts w:hint="eastAsia" w:ascii="仿宋" w:hAnsi="仿宋" w:eastAsia="仿宋"/>
                <w:bCs/>
                <w:szCs w:val="21"/>
              </w:rPr>
              <w:t>限</w:t>
            </w:r>
            <w:r>
              <w:rPr>
                <w:rFonts w:ascii="仿宋" w:hAnsi="仿宋" w:eastAsia="仿宋"/>
                <w:bCs/>
                <w:szCs w:val="21"/>
              </w:rPr>
              <w:t>额</w:t>
            </w:r>
            <w:r>
              <w:rPr>
                <w:rFonts w:hint="eastAsia" w:ascii="仿宋" w:hAnsi="仿宋" w:eastAsia="仿宋"/>
                <w:bCs/>
                <w:szCs w:val="21"/>
              </w:rPr>
              <w:t>时</w:t>
            </w:r>
            <w:r>
              <w:rPr>
                <w:rFonts w:ascii="仿宋" w:hAnsi="仿宋" w:eastAsia="仿宋"/>
                <w:bCs/>
                <w:szCs w:val="21"/>
              </w:rPr>
              <w:t>，</w:t>
            </w:r>
            <w:r>
              <w:rPr>
                <w:rFonts w:hint="eastAsia" w:ascii="仿宋" w:hAnsi="仿宋" w:eastAsia="仿宋"/>
                <w:b/>
                <w:szCs w:val="21"/>
              </w:rPr>
              <w:t>华夏理财将在赎回确认日末对投资者的剩余份额发起强制赎回</w:t>
            </w:r>
            <w:r>
              <w:rPr>
                <w:rFonts w:ascii="仿宋" w:hAnsi="仿宋" w:eastAsia="仿宋"/>
                <w:b/>
                <w:szCs w:val="21"/>
              </w:rPr>
              <w:t>。</w:t>
            </w:r>
          </w:p>
          <w:p>
            <w:pPr>
              <w:adjustRightInd w:val="0"/>
              <w:snapToGrid w:val="0"/>
              <w:spacing w:line="240" w:lineRule="atLeast"/>
              <w:ind w:right="-44" w:firstLine="422" w:firstLineChars="200"/>
              <w:jc w:val="left"/>
              <w:rPr>
                <w:rFonts w:ascii="仿宋" w:hAnsi="仿宋" w:eastAsia="仿宋"/>
                <w:b/>
                <w:szCs w:val="21"/>
              </w:rPr>
            </w:pPr>
            <w:r>
              <w:rPr>
                <w:rFonts w:hint="eastAsia" w:ascii="仿宋" w:hAnsi="仿宋" w:eastAsia="仿宋"/>
                <w:b/>
                <w:szCs w:val="21"/>
              </w:rPr>
              <w:t>若客户在同一开放日提交申购和赎回原持有份额的交易申请，经申购和赎回交易确认后的日末余额低于理财账户最低保留限额时，华夏理财将在赎回确认日末对投资者的剩余份额发起强制赎回。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本产品赎回遵循“先进先出”原则。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keepNext/>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 xml:space="preserve">申请日的产品份额净值，保留到小数点后 2 </w:t>
            </w:r>
            <w:r>
              <w:rPr>
                <w:rFonts w:hint="eastAsia" w:ascii="仿宋" w:hAnsi="仿宋" w:eastAsia="仿宋"/>
                <w:bCs/>
                <w:szCs w:val="21"/>
                <w:u w:val="single"/>
              </w:rPr>
              <w:t xml:space="preserve">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认购/申购/赎回申请拒绝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华夏理财根据市场情况或理财产品实际投资运作的情况确定理财产品规模上限（代销机构可控制自身销售额度），若本理财产品余额超过产品规模上限，</w:t>
            </w:r>
            <w:r>
              <w:rPr>
                <w:rFonts w:hint="eastAsia" w:ascii="仿宋" w:hAnsi="仿宋" w:eastAsia="仿宋"/>
                <w:b/>
                <w:bCs/>
                <w:szCs w:val="21"/>
              </w:rPr>
              <w:t>华夏理财有权在成立日/申购确认日采取比例确认等方式对购买申请给予部分确认。</w:t>
            </w:r>
          </w:p>
          <w:p>
            <w:pPr>
              <w:tabs>
                <w:tab w:val="left" w:pos="720"/>
              </w:tabs>
              <w:adjustRightInd w:val="0"/>
              <w:snapToGrid w:val="0"/>
              <w:spacing w:line="300" w:lineRule="exact"/>
              <w:ind w:firstLine="422" w:firstLineChars="200"/>
              <w:rPr>
                <w:rFonts w:ascii="仿宋" w:hAnsi="仿宋" w:eastAsia="仿宋"/>
                <w:bCs/>
                <w:szCs w:val="21"/>
              </w:rPr>
            </w:pPr>
            <w:r>
              <w:rPr>
                <w:rFonts w:hint="eastAsia" w:ascii="仿宋" w:hAnsi="仿宋" w:eastAsia="仿宋"/>
                <w:b/>
                <w:szCs w:val="21"/>
              </w:rPr>
              <w:t>华夏理财认为接受大额认购/申购申请可能会影响或损害理财产品投资者权益时，有权拒绝或暂停该认购/申购申请。</w:t>
            </w:r>
          </w:p>
          <w:p>
            <w:pPr>
              <w:spacing w:line="240" w:lineRule="atLeast"/>
              <w:rPr>
                <w:rFonts w:ascii="仿宋" w:hAnsi="仿宋" w:eastAsia="仿宋"/>
                <w:bCs/>
                <w:szCs w:val="21"/>
              </w:rPr>
            </w:pPr>
            <w:r>
              <w:rPr>
                <w:rFonts w:hint="eastAsia" w:ascii="仿宋" w:hAnsi="仿宋" w:eastAsia="仿宋"/>
                <w:bCs/>
                <w:szCs w:val="21"/>
              </w:rPr>
              <w:t xml:space="preserve">    若因超过产品规模上限或</w:t>
            </w:r>
            <w:r>
              <w:rPr>
                <w:rFonts w:ascii="仿宋" w:hAnsi="仿宋" w:eastAsia="仿宋"/>
                <w:bCs/>
                <w:szCs w:val="21"/>
              </w:rPr>
              <w:t>发生巨额赎回</w:t>
            </w:r>
            <w:r>
              <w:rPr>
                <w:rFonts w:hint="eastAsia" w:ascii="仿宋" w:hAnsi="仿宋" w:eastAsia="仿宋"/>
                <w:bCs/>
                <w:szCs w:val="21"/>
              </w:rPr>
              <w:t>,华夏理财拒绝、延期办理或部分接受客户的认购/申购/赎回</w:t>
            </w:r>
            <w:r>
              <w:rPr>
                <w:rFonts w:ascii="仿宋" w:hAnsi="仿宋" w:eastAsia="仿宋"/>
                <w:bCs/>
                <w:szCs w:val="21"/>
              </w:rPr>
              <w:t>申请时，</w:t>
            </w:r>
            <w:r>
              <w:rPr>
                <w:rFonts w:hint="eastAsia" w:ascii="仿宋" w:hAnsi="仿宋" w:eastAsia="仿宋"/>
                <w:bCs/>
                <w:szCs w:val="21"/>
              </w:rPr>
              <w:t>华夏理财于</w:t>
            </w:r>
            <w:r>
              <w:rPr>
                <w:rFonts w:ascii="仿宋" w:hAnsi="仿宋" w:eastAsia="仿宋"/>
                <w:bCs/>
                <w:szCs w:val="21"/>
              </w:rPr>
              <w:t>3</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 xml:space="preserve"> 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rPr>
              <w:t>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申购的，投资者撤销申购的本金在</w:t>
            </w:r>
            <w:r>
              <w:rPr>
                <w:rFonts w:ascii="仿宋" w:hAnsi="仿宋" w:eastAsia="仿宋"/>
                <w:bCs/>
                <w:szCs w:val="21"/>
              </w:rPr>
              <w:t xml:space="preserve"> 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）通过华夏银行申购的，投资者撤销申购的本金实时到账。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开放日15:</w:t>
            </w:r>
            <w:r>
              <w:rPr>
                <w:rFonts w:ascii="仿宋" w:hAnsi="仿宋" w:eastAsia="仿宋"/>
              </w:rPr>
              <w:t>30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开放日15:</w:t>
            </w:r>
            <w:r>
              <w:rPr>
                <w:rFonts w:ascii="仿宋" w:hAnsi="仿宋" w:eastAsia="仿宋"/>
              </w:rPr>
              <w:t>30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w:t>
            </w:r>
            <w:r>
              <w:rPr>
                <w:rFonts w:hint="eastAsia" w:ascii="仿宋" w:hAnsi="仿宋" w:eastAsia="仿宋"/>
                <w:bCs/>
                <w:szCs w:val="21"/>
                <w:lang w:val="en-US" w:eastAsia="zh-CN"/>
              </w:rPr>
              <w:t>最短持有</w:t>
            </w:r>
            <w:r>
              <w:rPr>
                <w:rFonts w:hint="eastAsia" w:ascii="仿宋" w:hAnsi="仿宋" w:eastAsia="仿宋"/>
                <w:bCs/>
                <w:szCs w:val="21"/>
              </w:rPr>
              <w:t>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 xml:space="preserve"> </w:t>
            </w:r>
            <w:r>
              <w:rPr>
                <w:rFonts w:ascii="仿宋" w:hAnsi="仿宋" w:eastAsia="仿宋"/>
                <w:bCs/>
                <w:szCs w:val="21"/>
                <w:u w:val="single"/>
              </w:rPr>
              <w:t>15:30</w:t>
            </w:r>
            <w:r>
              <w:rPr>
                <w:rFonts w:hint="eastAsia" w:ascii="仿宋" w:hAnsi="仿宋" w:eastAsia="仿宋"/>
                <w:bCs/>
                <w:szCs w:val="21"/>
                <w:u w:val="single"/>
              </w:rPr>
              <w:t>（不含）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w:t>
            </w:r>
            <w:r>
              <w:rPr>
                <w:rFonts w:ascii="仿宋" w:hAnsi="仿宋" w:eastAsia="仿宋"/>
                <w:b/>
                <w:bCs/>
                <w:szCs w:val="21"/>
              </w:rPr>
              <w:t>3</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F=E×【0.0</w:t>
            </w:r>
            <w:r>
              <w:rPr>
                <w:rFonts w:ascii="仿宋" w:hAnsi="仿宋" w:eastAsia="仿宋"/>
                <w:b/>
                <w:bCs/>
                <w:szCs w:val="21"/>
              </w:rPr>
              <w:t>3</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F为托管费  ；E为计算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cs="Cambria"/>
                <w:b/>
                <w:bCs/>
                <w:szCs w:val="21"/>
              </w:rPr>
              <w:t>A份额：</w:t>
            </w:r>
            <w:r>
              <w:rPr>
                <w:rFonts w:hint="eastAsia" w:ascii="仿宋" w:hAnsi="仿宋" w:eastAsia="仿宋"/>
                <w:b/>
                <w:bCs/>
                <w:szCs w:val="21"/>
              </w:rPr>
              <w:t>0.</w:t>
            </w:r>
            <w:r>
              <w:rPr>
                <w:rFonts w:ascii="仿宋" w:hAnsi="仿宋" w:eastAsia="仿宋"/>
                <w:b/>
                <w:bCs/>
                <w:szCs w:val="21"/>
              </w:rPr>
              <w:t>30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ascii="仿宋" w:hAnsi="仿宋" w:eastAsia="仿宋" w:cs="Cambria"/>
                <w:b/>
                <w:bCs/>
                <w:szCs w:val="21"/>
              </w:rPr>
              <w:t>B</w:t>
            </w:r>
            <w:r>
              <w:rPr>
                <w:rFonts w:hint="eastAsia" w:ascii="仿宋" w:hAnsi="仿宋" w:eastAsia="仿宋" w:cs="Cambria"/>
                <w:b/>
                <w:bCs/>
                <w:szCs w:val="21"/>
              </w:rPr>
              <w:t>份额：</w:t>
            </w:r>
            <w:r>
              <w:rPr>
                <w:rFonts w:hint="eastAsia" w:ascii="仿宋" w:hAnsi="仿宋" w:eastAsia="仿宋"/>
                <w:b/>
                <w:bCs/>
                <w:szCs w:val="21"/>
              </w:rPr>
              <w:t>0.</w:t>
            </w:r>
            <w:r>
              <w:rPr>
                <w:rFonts w:ascii="仿宋" w:hAnsi="仿宋" w:eastAsia="仿宋"/>
                <w:b/>
                <w:bCs/>
                <w:szCs w:val="21"/>
              </w:rPr>
              <w:t>30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cs="Cambria"/>
                <w:b/>
                <w:bCs/>
                <w:szCs w:val="21"/>
              </w:rPr>
              <w:t>C份额：</w:t>
            </w:r>
            <w:r>
              <w:rPr>
                <w:rFonts w:hint="eastAsia" w:ascii="仿宋" w:hAnsi="仿宋" w:eastAsia="仿宋"/>
                <w:b/>
                <w:bCs/>
                <w:szCs w:val="21"/>
              </w:rPr>
              <w:t>0.15%/年，以前一日资产净值为基数，每日计提。</w:t>
            </w:r>
          </w:p>
          <w:p>
            <w:pPr>
              <w:adjustRightInd w:val="0"/>
              <w:snapToGrid w:val="0"/>
              <w:spacing w:line="240" w:lineRule="atLeast"/>
              <w:ind w:firstLine="420"/>
              <w:jc w:val="left"/>
              <w:rPr>
                <w:rFonts w:ascii="仿宋" w:hAnsi="仿宋" w:eastAsia="仿宋"/>
                <w:b/>
                <w:bCs/>
                <w:szCs w:val="21"/>
              </w:rPr>
            </w:pPr>
            <w:r>
              <w:rPr>
                <w:rFonts w:ascii="仿宋" w:hAnsi="仿宋" w:eastAsia="仿宋" w:cs="Cambria"/>
                <w:b/>
                <w:bCs/>
                <w:szCs w:val="21"/>
              </w:rPr>
              <w:t>D</w:t>
            </w:r>
            <w:r>
              <w:rPr>
                <w:rFonts w:hint="eastAsia" w:ascii="仿宋" w:hAnsi="仿宋" w:eastAsia="仿宋" w:cs="Cambria"/>
                <w:b/>
                <w:bCs/>
                <w:szCs w:val="21"/>
              </w:rPr>
              <w:t>份额：</w:t>
            </w:r>
            <w:r>
              <w:rPr>
                <w:rFonts w:hint="eastAsia" w:ascii="仿宋" w:hAnsi="仿宋" w:eastAsia="仿宋"/>
                <w:b/>
                <w:bCs/>
                <w:szCs w:val="21"/>
              </w:rPr>
              <w:t>0.15%/年，以前一日资产净值为基数，每日计提。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cs="Cambria"/>
                <w:b/>
                <w:bCs/>
                <w:szCs w:val="21"/>
              </w:rPr>
              <w:t>H份额：</w:t>
            </w:r>
            <w:r>
              <w:rPr>
                <w:rFonts w:hint="eastAsia" w:ascii="仿宋" w:hAnsi="仿宋" w:eastAsia="仿宋"/>
                <w:b/>
                <w:bCs/>
                <w:szCs w:val="21"/>
              </w:rPr>
              <w:t>0.25%/年，以前一日资产净值为基数，每日计提。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ascii="仿宋" w:hAnsi="仿宋" w:eastAsia="仿宋" w:cs="Cambria"/>
                <w:b/>
                <w:bCs/>
                <w:szCs w:val="21"/>
              </w:rPr>
              <w:t>M</w:t>
            </w:r>
            <w:r>
              <w:rPr>
                <w:rFonts w:hint="eastAsia" w:ascii="仿宋" w:hAnsi="仿宋" w:eastAsia="仿宋" w:cs="Cambria"/>
                <w:b/>
                <w:bCs/>
                <w:szCs w:val="21"/>
              </w:rPr>
              <w:t>份额：</w:t>
            </w:r>
            <w:r>
              <w:rPr>
                <w:rFonts w:hint="eastAsia" w:ascii="仿宋" w:hAnsi="仿宋" w:eastAsia="仿宋"/>
                <w:b/>
                <w:bCs/>
                <w:szCs w:val="21"/>
              </w:rPr>
              <w:t>0.</w:t>
            </w:r>
            <w:r>
              <w:rPr>
                <w:rFonts w:ascii="仿宋" w:hAnsi="仿宋" w:eastAsia="仿宋"/>
                <w:b/>
                <w:bCs/>
                <w:szCs w:val="21"/>
              </w:rPr>
              <w:t>30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cs="Cambria"/>
                <w:b/>
                <w:bCs/>
                <w:szCs w:val="21"/>
                <w:lang w:val="en-US" w:eastAsia="zh-CN"/>
              </w:rPr>
              <w:t>O</w:t>
            </w:r>
            <w:r>
              <w:rPr>
                <w:rFonts w:hint="eastAsia" w:ascii="仿宋" w:hAnsi="仿宋" w:eastAsia="仿宋" w:cs="Cambria"/>
                <w:b/>
                <w:bCs/>
                <w:szCs w:val="21"/>
              </w:rPr>
              <w:t>份额：</w:t>
            </w:r>
            <w:r>
              <w:rPr>
                <w:rFonts w:hint="eastAsia" w:ascii="仿宋" w:hAnsi="仿宋" w:eastAsia="仿宋"/>
                <w:b/>
                <w:bCs/>
                <w:szCs w:val="21"/>
                <w:lang w:eastAsia="zh-CN"/>
              </w:rPr>
              <w:t>0.30%/年，</w:t>
            </w:r>
            <w:r>
              <w:rPr>
                <w:rFonts w:hint="eastAsia" w:ascii="仿宋" w:hAnsi="仿宋" w:eastAsia="仿宋"/>
                <w:b/>
                <w:bCs/>
                <w:szCs w:val="21"/>
              </w:rPr>
              <w:t>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cs="Cambria"/>
                <w:b/>
                <w:bCs/>
                <w:szCs w:val="21"/>
                <w:lang w:val="en-US" w:eastAsia="zh-CN"/>
              </w:rPr>
              <w:t>W</w:t>
            </w:r>
            <w:r>
              <w:rPr>
                <w:rFonts w:hint="eastAsia" w:ascii="仿宋" w:hAnsi="仿宋" w:eastAsia="仿宋" w:cs="Cambria"/>
                <w:b/>
                <w:bCs/>
                <w:szCs w:val="21"/>
              </w:rPr>
              <w:t>份额：</w:t>
            </w:r>
            <w:r>
              <w:rPr>
                <w:rFonts w:hint="eastAsia" w:ascii="仿宋" w:hAnsi="仿宋" w:eastAsia="仿宋"/>
                <w:b/>
                <w:bCs/>
                <w:szCs w:val="21"/>
              </w:rPr>
              <w:t>0.</w:t>
            </w:r>
            <w:r>
              <w:rPr>
                <w:rFonts w:hint="eastAsia" w:ascii="仿宋" w:hAnsi="仿宋" w:eastAsia="仿宋"/>
                <w:b/>
                <w:bCs/>
                <w:szCs w:val="21"/>
                <w:lang w:val="en-US" w:eastAsia="zh-CN"/>
              </w:rPr>
              <w:t>4</w:t>
            </w:r>
            <w:r>
              <w:rPr>
                <w:rFonts w:ascii="仿宋" w:hAnsi="仿宋" w:eastAsia="仿宋"/>
                <w:b/>
                <w:bCs/>
                <w:szCs w:val="21"/>
              </w:rPr>
              <w:t>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cs="Cambria"/>
                <w:b/>
                <w:bCs/>
                <w:szCs w:val="21"/>
                <w:lang w:val="en-US" w:eastAsia="zh-CN"/>
              </w:rPr>
              <w:t>Y</w:t>
            </w:r>
            <w:r>
              <w:rPr>
                <w:rFonts w:hint="eastAsia" w:ascii="仿宋" w:hAnsi="仿宋" w:eastAsia="仿宋" w:cs="Cambria"/>
                <w:b/>
                <w:bCs/>
                <w:szCs w:val="21"/>
              </w:rPr>
              <w:t>份额：</w:t>
            </w:r>
            <w:r>
              <w:rPr>
                <w:rFonts w:hint="eastAsia" w:ascii="仿宋" w:hAnsi="仿宋" w:eastAsia="仿宋"/>
                <w:b/>
                <w:bCs/>
                <w:szCs w:val="21"/>
              </w:rPr>
              <w:t>0.</w:t>
            </w:r>
            <w:r>
              <w:rPr>
                <w:rFonts w:ascii="仿宋" w:hAnsi="仿宋" w:eastAsia="仿宋"/>
                <w:b/>
                <w:bCs/>
                <w:szCs w:val="21"/>
              </w:rPr>
              <w:t>30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cs="Cambria"/>
                <w:b/>
                <w:bCs/>
                <w:szCs w:val="21"/>
              </w:rPr>
              <w:t>Z份额：</w:t>
            </w:r>
            <w:r>
              <w:rPr>
                <w:rFonts w:hint="eastAsia" w:ascii="仿宋" w:hAnsi="仿宋" w:eastAsia="仿宋"/>
                <w:b/>
                <w:bCs/>
                <w:szCs w:val="21"/>
              </w:rPr>
              <w:t>0.</w:t>
            </w:r>
            <w:r>
              <w:rPr>
                <w:rFonts w:ascii="仿宋" w:hAnsi="仿宋" w:eastAsia="仿宋"/>
                <w:b/>
                <w:bCs/>
                <w:szCs w:val="21"/>
              </w:rPr>
              <w:t>30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F=E×【各</w:t>
            </w:r>
            <w:r>
              <w:rPr>
                <w:rFonts w:ascii="仿宋" w:hAnsi="仿宋" w:eastAsia="仿宋"/>
                <w:b/>
                <w:bCs/>
                <w:szCs w:val="21"/>
              </w:rPr>
              <w:t>份额</w:t>
            </w:r>
            <w:r>
              <w:rPr>
                <w:rFonts w:hint="eastAsia" w:ascii="仿宋" w:hAnsi="仿宋" w:eastAsia="仿宋"/>
                <w:b/>
                <w:bCs/>
                <w:szCs w:val="21"/>
              </w:rPr>
              <w:t>销售</w:t>
            </w:r>
            <w:r>
              <w:rPr>
                <w:rFonts w:ascii="仿宋" w:hAnsi="仿宋" w:eastAsia="仿宋"/>
                <w:b/>
                <w:bCs/>
                <w:szCs w:val="21"/>
              </w:rPr>
              <w:t>手续费率</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F为各份额销售</w:t>
            </w:r>
            <w:r>
              <w:rPr>
                <w:rFonts w:ascii="仿宋" w:hAnsi="仿宋" w:eastAsia="仿宋"/>
                <w:b/>
                <w:bCs/>
                <w:szCs w:val="21"/>
              </w:rPr>
              <w:t>手续费</w:t>
            </w:r>
            <w:r>
              <w:rPr>
                <w:rFonts w:hint="eastAsia" w:ascii="仿宋" w:hAnsi="仿宋" w:eastAsia="仿宋"/>
                <w:b/>
                <w:bCs/>
                <w:szCs w:val="21"/>
              </w:rPr>
              <w:t>；E为计算</w:t>
            </w:r>
            <w:r>
              <w:rPr>
                <w:rFonts w:ascii="仿宋" w:hAnsi="仿宋" w:eastAsia="仿宋"/>
                <w:b/>
                <w:bCs/>
                <w:szCs w:val="21"/>
              </w:rPr>
              <w:t>基数</w:t>
            </w:r>
            <w:r>
              <w:rPr>
                <w:rFonts w:hint="eastAsia" w:ascii="仿宋" w:hAnsi="仿宋" w:eastAsia="仿宋"/>
                <w:b/>
                <w:bCs/>
                <w:szCs w:val="21"/>
              </w:rPr>
              <w:t>。</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w:t>
            </w:r>
            <w:r>
              <w:rPr>
                <w:rFonts w:ascii="仿宋" w:hAnsi="仿宋" w:eastAsia="仿宋"/>
                <w:b/>
                <w:bCs/>
                <w:szCs w:val="21"/>
              </w:rPr>
              <w:t>50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w:t>
            </w:r>
            <w:r>
              <w:rPr>
                <w:rFonts w:ascii="仿宋" w:hAnsi="仿宋" w:eastAsia="仿宋"/>
                <w:b/>
                <w:bCs/>
                <w:szCs w:val="21"/>
              </w:rPr>
              <w:t>50</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w:t>
            </w:r>
            <w:r>
              <w:rPr>
                <w:rFonts w:ascii="仿宋" w:hAnsi="仿宋" w:eastAsia="仿宋"/>
                <w:b/>
                <w:bCs/>
                <w:szCs w:val="21"/>
              </w:rPr>
              <w:t>不收取超额管理费。</w:t>
            </w:r>
          </w:p>
          <w:p>
            <w:pPr>
              <w:adjustRightInd w:val="0"/>
              <w:snapToGrid w:val="0"/>
              <w:spacing w:line="240" w:lineRule="atLeas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产品开放日后第 </w:t>
            </w:r>
            <w:r>
              <w:rPr>
                <w:rFonts w:ascii="仿宋" w:hAnsi="仿宋" w:eastAsia="仿宋"/>
                <w:bCs/>
                <w:szCs w:val="21"/>
                <w:u w:val="single"/>
              </w:rPr>
              <w:t>2</w:t>
            </w:r>
            <w:r>
              <w:rPr>
                <w:rFonts w:hint="eastAsia" w:ascii="仿宋" w:hAnsi="仿宋" w:eastAsia="仿宋"/>
                <w:bCs/>
                <w:szCs w:val="21"/>
              </w:rPr>
              <w:t xml:space="preserve"> 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 xml:space="preserve"> 2 </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通过本</w:t>
            </w:r>
            <w:r>
              <w:rPr>
                <w:rFonts w:hint="eastAsia" w:ascii="仿宋" w:hAnsi="仿宋" w:eastAsia="仿宋"/>
                <w:b/>
                <w:szCs w:val="21"/>
              </w:rPr>
              <w:t>产品</w:t>
            </w:r>
            <w:r>
              <w:rPr>
                <w:rFonts w:ascii="仿宋" w:hAnsi="仿宋" w:eastAsia="仿宋"/>
                <w:b/>
                <w:szCs w:val="21"/>
              </w:rPr>
              <w:t>说明书约定的信息披露渠道公告</w:t>
            </w:r>
            <w:r>
              <w:rPr>
                <w:rFonts w:hint="eastAsia" w:ascii="仿宋" w:hAnsi="仿宋" w:eastAsia="仿宋"/>
                <w:bCs/>
                <w:szCs w:val="21"/>
              </w:rPr>
              <w:t>。除本产品说明书另有约定，</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 xml:space="preserve">当本理财产品份额低于 </w:t>
            </w:r>
            <w:r>
              <w:rPr>
                <w:rFonts w:hint="eastAsia" w:ascii="仿宋" w:hAnsi="仿宋" w:eastAsia="仿宋"/>
                <w:bCs/>
                <w:szCs w:val="21"/>
                <w:u w:val="single"/>
              </w:rPr>
              <w:t>1</w:t>
            </w:r>
            <w:r>
              <w:rPr>
                <w:rFonts w:hint="eastAsia" w:ascii="仿宋" w:hAnsi="仿宋" w:eastAsia="仿宋"/>
                <w:bCs/>
                <w:szCs w:val="21"/>
                <w:u w:val="single"/>
                <w:lang w:val="en-US" w:eastAsia="zh-CN"/>
              </w:rPr>
              <w:t>,</w:t>
            </w:r>
            <w:r>
              <w:rPr>
                <w:rFonts w:hint="eastAsia" w:ascii="仿宋" w:hAnsi="仿宋" w:eastAsia="仿宋"/>
                <w:bCs/>
                <w:szCs w:val="21"/>
                <w:u w:val="single"/>
              </w:rPr>
              <w:t>000万</w:t>
            </w:r>
            <w:r>
              <w:rPr>
                <w:rFonts w:ascii="仿宋" w:hAnsi="仿宋" w:eastAsia="仿宋"/>
                <w:bCs/>
                <w:szCs w:val="21"/>
              </w:rPr>
              <w:t xml:space="preserve"> </w:t>
            </w:r>
            <w:r>
              <w:rPr>
                <w:rFonts w:hint="eastAsia" w:ascii="仿宋" w:hAnsi="仿宋" w:eastAsia="仿宋"/>
                <w:bCs/>
                <w:szCs w:val="21"/>
              </w:rPr>
              <w:t>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22"/>
        <w:snapToGrid w:val="0"/>
        <w:spacing w:after="156" w:afterLines="50" w:line="400" w:lineRule="exact"/>
        <w:ind w:firstLine="482" w:firstLineChars="200"/>
        <w:jc w:val="both"/>
        <w:rPr>
          <w:rFonts w:ascii="Times New Roman" w:eastAsia="黑体" w:cs="Times New Roman"/>
          <w:b/>
          <w:color w:val="auto"/>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本产品100%投资于固定收益类金融工具，包括货币市场工具、标准化债权及其他符合监管要求的固定收益类金融资产。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标准化债权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color w:val="000000"/>
          <w:kern w:val="0"/>
          <w:sz w:val="24"/>
        </w:rPr>
        <w:t>本理财产品投资下列资产合计不低于理财产品资产净值80%：存款类资产、同业存单、逆回购、货币基金</w:t>
      </w:r>
      <w:r>
        <w:rPr>
          <w:rFonts w:hint="eastAsia" w:ascii="仿宋" w:hAnsi="仿宋" w:eastAsia="仿宋" w:cs="宋体"/>
          <w:b/>
          <w:color w:val="000000"/>
          <w:kern w:val="0"/>
          <w:sz w:val="24"/>
          <w:lang w:val="en-US" w:eastAsia="zh-CN"/>
        </w:rPr>
        <w:t>、债券等固定收益类</w:t>
      </w:r>
      <w:r>
        <w:rPr>
          <w:rFonts w:hint="eastAsia" w:ascii="仿宋" w:hAnsi="仿宋" w:eastAsia="仿宋" w:cs="宋体"/>
          <w:b/>
          <w:color w:val="000000"/>
          <w:kern w:val="0"/>
          <w:sz w:val="24"/>
        </w:rPr>
        <w:t>资产，其中存款类资产、同业存单</w:t>
      </w:r>
      <w:r>
        <w:rPr>
          <w:rFonts w:hint="eastAsia" w:ascii="仿宋" w:hAnsi="仿宋" w:eastAsia="仿宋" w:cs="宋体"/>
          <w:b/>
          <w:color w:val="000000"/>
          <w:kern w:val="0"/>
          <w:sz w:val="24"/>
          <w:lang w:val="en-US" w:eastAsia="zh-CN"/>
        </w:rPr>
        <w:t>、逆回购、货币基金、国债、证金债等</w:t>
      </w:r>
      <w:r>
        <w:rPr>
          <w:rFonts w:hint="eastAsia" w:ascii="仿宋" w:hAnsi="仿宋" w:eastAsia="仿宋" w:cs="宋体"/>
          <w:b/>
          <w:color w:val="000000"/>
          <w:kern w:val="0"/>
          <w:sz w:val="24"/>
        </w:rPr>
        <w:t>不低于50%。</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884"/>
        <w:gridCol w:w="5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2884" w:type="dxa"/>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5179" w:type="dxa"/>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2884" w:type="dxa"/>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rPr>
              <w:t>货币市场工具</w:t>
            </w:r>
          </w:p>
        </w:tc>
        <w:tc>
          <w:tcPr>
            <w:tcW w:w="5179" w:type="dxa"/>
            <w:vAlign w:val="center"/>
          </w:tcPr>
          <w:p>
            <w:pPr>
              <w:adjustRightInd w:val="0"/>
              <w:snapToGrid w:val="0"/>
              <w:jc w:val="center"/>
              <w:rPr>
                <w:rFonts w:eastAsia="仿宋"/>
                <w:color w:val="000000"/>
                <w:kern w:val="0"/>
                <w:sz w:val="24"/>
              </w:rPr>
            </w:pPr>
            <w:r>
              <w:rPr>
                <w:rFonts w:eastAsia="仿宋"/>
                <w:color w:val="000000"/>
                <w:kern w:val="0"/>
                <w:sz w:val="24"/>
              </w:rPr>
              <w:t>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jc w:val="center"/>
        </w:trPr>
        <w:tc>
          <w:tcPr>
            <w:tcW w:w="2884" w:type="dxa"/>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rPr>
              <w:t>标准化债权</w:t>
            </w:r>
            <w:r>
              <w:rPr>
                <w:rFonts w:hint="eastAsia" w:eastAsia="仿宋"/>
                <w:color w:val="000000"/>
                <w:kern w:val="0"/>
                <w:sz w:val="24"/>
              </w:rPr>
              <w:t>类</w:t>
            </w:r>
            <w:r>
              <w:rPr>
                <w:rFonts w:hint="eastAsia" w:eastAsia="仿宋"/>
                <w:color w:val="000000"/>
                <w:kern w:val="0"/>
                <w:sz w:val="24"/>
                <w:lang w:val="en-US" w:eastAsia="zh-CN"/>
              </w:rPr>
              <w:t>资产</w:t>
            </w:r>
          </w:p>
        </w:tc>
        <w:tc>
          <w:tcPr>
            <w:tcW w:w="5179" w:type="dxa"/>
            <w:vAlign w:val="center"/>
          </w:tcPr>
          <w:p>
            <w:pPr>
              <w:adjustRightInd w:val="0"/>
              <w:snapToGrid w:val="0"/>
              <w:jc w:val="center"/>
              <w:rPr>
                <w:rFonts w:eastAsia="仿宋"/>
                <w:color w:val="000000"/>
                <w:kern w:val="0"/>
                <w:sz w:val="24"/>
              </w:rPr>
            </w:pPr>
            <w:r>
              <w:rPr>
                <w:rFonts w:eastAsia="仿宋"/>
                <w:color w:val="000000"/>
                <w:kern w:val="0"/>
                <w:sz w:val="24"/>
              </w:rPr>
              <w:t>0%-100%</w:t>
            </w:r>
          </w:p>
        </w:tc>
      </w:tr>
    </w:tbl>
    <w:p>
      <w:pPr>
        <w:widowControl/>
        <w:adjustRightInd w:val="0"/>
        <w:snapToGrid w:val="0"/>
        <w:spacing w:line="276" w:lineRule="auto"/>
        <w:ind w:firstLine="482" w:firstLineChars="200"/>
        <w:contextualSpacing/>
        <w:rPr>
          <w:rFonts w:hint="eastAsia"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w:t>
      </w:r>
      <w:r>
        <w:rPr>
          <w:rFonts w:hint="eastAsia" w:ascii="仿宋" w:hAnsi="仿宋" w:eastAsia="仿宋" w:cs="仿宋"/>
          <w:b/>
          <w:bCs/>
          <w:color w:val="000000"/>
          <w:kern w:val="0"/>
          <w:sz w:val="24"/>
        </w:rPr>
        <w:t>本产品说明书约定的信息披露渠道</w:t>
      </w:r>
      <w:r>
        <w:rPr>
          <w:rFonts w:hint="eastAsia" w:ascii="仿宋" w:hAnsi="仿宋" w:eastAsia="仿宋" w:cs="宋体"/>
          <w:b/>
          <w:bCs/>
          <w:color w:val="000000"/>
          <w:kern w:val="0"/>
          <w:sz w:val="24"/>
        </w:rPr>
        <w:t>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w:t>
      </w:r>
      <w:r>
        <w:rPr>
          <w:rFonts w:ascii="Times New Roman" w:eastAsia="黑体" w:cs="Times New Roman"/>
          <w:b/>
          <w:color w:val="auto"/>
        </w:rPr>
        <w:t>、</w:t>
      </w:r>
      <w:r>
        <w:rPr>
          <w:rFonts w:hint="eastAsia" w:ascii="Times New Roman" w:eastAsia="黑体" w:cs="Times New Roman"/>
          <w:b/>
          <w:color w:val="auto"/>
        </w:rPr>
        <w:t>理财产品管理人和托管</w:t>
      </w:r>
      <w:r>
        <w:rPr>
          <w:rFonts w:ascii="Times New Roman" w:eastAsia="黑体" w:cs="Times New Roman"/>
          <w:b/>
          <w:color w:val="auto"/>
        </w:rPr>
        <w:t>人</w:t>
      </w:r>
    </w:p>
    <w:p>
      <w:pPr>
        <w:pStyle w:val="22"/>
        <w:snapToGrid w:val="0"/>
        <w:spacing w:after="156" w:afterLines="50" w:line="400" w:lineRule="exact"/>
        <w:ind w:firstLine="480" w:firstLineChars="200"/>
        <w:jc w:val="both"/>
        <w:rPr>
          <w:rFonts w:ascii="仿宋" w:hAnsi="仿宋" w:eastAsia="仿宋"/>
        </w:rPr>
      </w:pPr>
      <w:r>
        <w:rPr>
          <w:rFonts w:hint="eastAsia" w:ascii="仿宋" w:hAnsi="仿宋" w:eastAsia="仿宋"/>
        </w:rPr>
        <w:t>（一）</w:t>
      </w:r>
      <w:r>
        <w:rPr>
          <w:rFonts w:ascii="仿宋" w:hAnsi="仿宋" w:eastAsia="仿宋"/>
        </w:rPr>
        <w:t>本</w:t>
      </w:r>
      <w:r>
        <w:rPr>
          <w:rFonts w:hint="eastAsia" w:ascii="仿宋" w:hAnsi="仿宋" w:eastAsia="仿宋"/>
        </w:rPr>
        <w:t>理财</w:t>
      </w:r>
      <w:r>
        <w:rPr>
          <w:rFonts w:ascii="仿宋" w:hAnsi="仿宋" w:eastAsia="仿宋"/>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lang w:eastAsia="zh-CN"/>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杨书剑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w:t>
      </w:r>
      <w:r>
        <w:rPr>
          <w:rFonts w:hint="eastAsia" w:ascii="仿宋" w:hAnsi="仿宋" w:eastAsia="仿宋" w:cs="宋体"/>
          <w:kern w:val="0"/>
          <w:sz w:val="24"/>
          <w:lang w:val="en-US" w:eastAsia="zh-CN"/>
        </w:rPr>
        <w:t>直销</w:t>
      </w:r>
      <w:r>
        <w:rPr>
          <w:rFonts w:hint="eastAsia" w:ascii="仿宋" w:hAnsi="仿宋" w:eastAsia="仿宋" w:cs="宋体"/>
          <w:kern w:val="0"/>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华夏银行柜台</w:t>
      </w:r>
      <w:r>
        <w:rPr>
          <w:rFonts w:hint="eastAsia" w:ascii="仿宋" w:hAnsi="仿宋" w:eastAsia="仿宋"/>
          <w:sz w:val="24"/>
        </w:rPr>
        <w:t>、手机银行、网上银行等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lang w:val="en-US" w:eastAsia="zh-CN"/>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不再接受该单一投资者对本理财产品的认、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hint="eastAsia" w:ascii="仿宋" w:hAnsi="仿宋" w:eastAsia="仿宋" w:cs="宋体"/>
          <w:kern w:val="0"/>
          <w:sz w:val="24"/>
        </w:rPr>
      </w:pPr>
      <w:r>
        <w:rPr>
          <w:rFonts w:hint="eastAsia" w:ascii="仿宋" w:hAnsi="仿宋" w:eastAsia="仿宋" w:cs="宋体"/>
          <w:kern w:val="0"/>
          <w:sz w:val="24"/>
        </w:rPr>
        <w:t>法律法规、监管部门另有规定的，从其规定。</w:t>
      </w:r>
    </w:p>
    <w:p>
      <w:pPr>
        <w:widowControl/>
        <w:adjustRightInd w:val="0"/>
        <w:snapToGrid w:val="0"/>
        <w:spacing w:line="276" w:lineRule="auto"/>
        <w:ind w:firstLine="480" w:firstLineChars="200"/>
        <w:contextualSpacing/>
        <w:rPr>
          <w:rFonts w:hint="eastAsia" w:ascii="仿宋" w:hAnsi="仿宋" w:eastAsia="仿宋" w:cs="宋体"/>
          <w:kern w:val="0"/>
          <w:sz w:val="24"/>
        </w:rPr>
      </w:pPr>
      <w:r>
        <w:rPr>
          <w:rFonts w:hint="eastAsia" w:ascii="仿宋" w:hAnsi="仿宋" w:eastAsia="仿宋" w:cs="宋体"/>
          <w:color w:val="000000"/>
          <w:kern w:val="0"/>
          <w:sz w:val="24"/>
          <w:highlight w:val="none"/>
        </w:rPr>
        <w:t>3</w:t>
      </w:r>
      <w:r>
        <w:rPr>
          <w:rFonts w:hint="eastAsia" w:ascii="仿宋" w:hAnsi="仿宋" w:eastAsia="仿宋" w:cs="宋体"/>
          <w:color w:val="000000"/>
          <w:kern w:val="0"/>
          <w:sz w:val="24"/>
          <w:highlight w:val="none"/>
          <w:lang w:val="en-US" w:eastAsia="zh-CN"/>
        </w:rPr>
        <w:t>.</w:t>
      </w:r>
      <w:r>
        <w:rPr>
          <w:rFonts w:hint="eastAsia" w:ascii="仿宋" w:hAnsi="仿宋" w:eastAsia="仿宋" w:cs="宋体"/>
          <w:color w:val="000000"/>
          <w:kern w:val="0"/>
          <w:sz w:val="24"/>
          <w:highlight w:val="none"/>
        </w:rPr>
        <w:t>本理财产品申购和赎回采用“未知价”原则，即本产品申购申请和赎回申请提交时，适用的产品份额净值都是未知的。适用的产品份额净值</w:t>
      </w:r>
      <w:r>
        <w:rPr>
          <w:rFonts w:hint="eastAsia" w:ascii="仿宋" w:hAnsi="仿宋" w:eastAsia="仿宋" w:cs="宋体"/>
          <w:color w:val="000000"/>
          <w:kern w:val="0"/>
          <w:sz w:val="24"/>
          <w:highlight w:val="none"/>
          <w:lang w:eastAsia="zh-CN"/>
        </w:rPr>
        <w:t>，</w:t>
      </w:r>
      <w:r>
        <w:rPr>
          <w:rFonts w:hint="eastAsia" w:ascii="仿宋" w:hAnsi="仿宋" w:eastAsia="仿宋" w:cs="宋体"/>
          <w:color w:val="000000"/>
          <w:kern w:val="0"/>
          <w:sz w:val="24"/>
          <w:highlight w:val="none"/>
          <w:lang w:val="en-US" w:eastAsia="zh-CN"/>
        </w:rPr>
        <w:t>详见“份额净值公告日”“九、信息披露”</w:t>
      </w:r>
      <w:r>
        <w:rPr>
          <w:rFonts w:hint="eastAsia" w:ascii="仿宋" w:hAnsi="仿宋" w:eastAsia="仿宋" w:cs="宋体"/>
          <w:color w:val="000000"/>
          <w:kern w:val="0"/>
          <w:sz w:val="24"/>
          <w:highlight w:val="none"/>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5.单个投资者在单个开放日的赎回超过说明书约定的赎回比例</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22"/>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例1：假设客户持有的本理财产品份额为200,000份，在开放日赎回100,000份，则：若产品开放日份额净值为1.1800，则客户获得的赎回金额为：100,000*1.1800=118,000.00元。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若产品开放日份额净值为0.9980，则客户获得赎回金额为：100,000*0.9980=99,800.00元。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w:t>
      </w:r>
      <w:r>
        <w:rPr>
          <w:rFonts w:hint="eastAsia" w:eastAsia="黑体"/>
          <w:b/>
          <w:color w:val="000000"/>
          <w:sz w:val="24"/>
          <w:highlight w:val="none"/>
        </w:rPr>
        <w:t>不等于预期收益，</w:t>
      </w:r>
      <w:r>
        <w:rPr>
          <w:rFonts w:hint="eastAsia" w:eastAsia="黑体"/>
          <w:b/>
          <w:color w:val="000000"/>
          <w:sz w:val="24"/>
        </w:rPr>
        <w:t>不代表投资者可能获得的实际收益，亦不构成华夏理财/代销机构对本理财产品的任何收益承诺。</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（一）估值对象</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本理财产品所投资的货币市场工具、标准化债权类资产以及资产管理产品等资产。</w:t>
      </w:r>
    </w:p>
    <w:p>
      <w:pPr>
        <w:pStyle w:val="22"/>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22"/>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（三）估值方法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 证券交易所上市的有价证券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在交易所市场上市的含有转股权的债券（如可转换债券、可交换债券等）等，选取每日收盘价减去所含的应收利息得到的净价进行估值。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 处于未上市期间的有价证券应区分如下情况处理：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（1）送股、转增股、配股和公开增发的新股，按估值日在证券交易所挂牌的同一股票的市价（收盘价）估值；该日无交易的，以最近一日的市价（收盘价）估值；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（3）优先股采用估值技术确认公允价值，在估值技术难以可靠计量公允价值的情况下，采用管理人和托管人共同认可的第三方机构提供的估值，或双方共同认可的估值；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 同一债券同时在两个或两个以上市场交易的，按债券所处的市场分别估值。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 证券投资基金的估值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（1）场外申赎的开放式非货币基金以估值日可获取的基金管理人公布的最新基金份额净值估值；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（2）上市流通的证券投资基金（包括场内买入的ETF、封闭式基金、上市定期开放式基金）按估值日其所在证券交易所的收盘价估值；估值日无交易的，以最近一个交易日的收盘价估值；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（3）货币基金以估值日可获取的基金管理人公布的最新万份收益计提红利。</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 期货以估值日期货交易所的当日结算价估值，估值当日无结算价的，且最近交易日后经济环境未发生重大变化的，采用最近交易日结算价估值。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 汇率估值方法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10. 场内期权以估值日交易所的结算价估值，该日无交易的，以最近一日的结算价为准。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11. 非标准化债权类资产采用估值技术确认公允价值，在估值技术难以可靠计量公允价值的情况下，按照管理人和托管人共同认可的估值。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13. 本系列产品所投资的资产管理产品以估值日公布的产品单位净值进行估值，估值日产品单位净值未公布的，以最近一个工作日产品单位净值计算。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14. 相关法律法规以及监管部门有强制规定的，从其规定。如有新增事项或变更事项，依法按最新规定计算。没有相关规定的，由产品管理人与托管人协商确定计算方法。</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22"/>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22"/>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22"/>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w:t>
      </w:r>
      <w:r>
        <w:rPr>
          <w:rFonts w:hint="eastAsia" w:ascii="仿宋" w:hAnsi="仿宋" w:eastAsia="仿宋" w:cs="仿宋"/>
          <w:highlight w:val="none"/>
        </w:rPr>
        <w:t>当估值出现错误时，</w:t>
      </w:r>
      <w:r>
        <w:rPr>
          <w:rFonts w:hint="eastAsia" w:ascii="仿宋" w:hAnsi="仿宋" w:eastAsia="仿宋" w:cs="仿宋"/>
        </w:rPr>
        <w:t>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w:t>
      </w:r>
      <w:r>
        <w:rPr>
          <w:rFonts w:hint="eastAsia" w:ascii="仿宋" w:hAnsi="仿宋" w:eastAsia="仿宋" w:cs="仿宋"/>
          <w:highlight w:val="none"/>
        </w:rPr>
        <w:t>管理人和托管人可以在法律法规允许的范围内免除赔偿责任。</w:t>
      </w:r>
      <w:r>
        <w:rPr>
          <w:rFonts w:hint="eastAsia" w:ascii="仿宋" w:hAnsi="仿宋" w:eastAsia="仿宋" w:cs="仿宋"/>
        </w:rPr>
        <w:t>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22"/>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w:t>
      </w:r>
      <w:r>
        <w:rPr>
          <w:rFonts w:hint="eastAsia" w:eastAsia="黑体"/>
          <w:b/>
        </w:rPr>
        <w:t>或最短持有期内产品管理人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22"/>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如因与理财产品投资资产相关的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22"/>
        <w:snapToGrid w:val="0"/>
        <w:spacing w:line="276" w:lineRule="auto"/>
        <w:ind w:firstLine="482"/>
        <w:contextualSpacing/>
        <w:rPr>
          <w:rFonts w:ascii="Times New Roman" w:eastAsia="黑体" w:cs="Times New Roman"/>
          <w:b/>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22"/>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（十四）流动性应对措施及对投资者的潜在影响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w:t>
      </w:r>
      <w:r>
        <w:rPr>
          <w:rFonts w:ascii="Times New Roman" w:eastAsia="黑体" w:cs="Times New Roman"/>
          <w:b/>
        </w:rPr>
        <w:t>认购</w:t>
      </w:r>
      <w:r>
        <w:rPr>
          <w:rFonts w:hint="eastAsia" w:ascii="Times New Roman" w:eastAsia="黑体" w:cs="Times New Roman"/>
          <w:b/>
        </w:rPr>
        <w:t>、申购、赎回”。</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22"/>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22"/>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（十六）</w:t>
      </w:r>
      <w:r>
        <w:rPr>
          <w:rFonts w:hint="eastAsia" w:ascii="Times New Roman" w:eastAsia="黑体" w:cs="Times New Roman"/>
          <w:b/>
          <w:color w:val="auto"/>
        </w:rPr>
        <w:t>本产品特有风险说明</w:t>
      </w:r>
    </w:p>
    <w:p>
      <w:pPr>
        <w:pStyle w:val="22"/>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投资于货币市场工具、标准化债权类资产等</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22"/>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w:t>
      </w:r>
      <w:r>
        <w:rPr>
          <w:rFonts w:hint="eastAsia" w:ascii="Times New Roman" w:eastAsia="黑体" w:cs="Times New Roman"/>
          <w:b/>
          <w:kern w:val="0"/>
          <w:sz w:val="24"/>
          <w:szCs w:val="24"/>
          <w:lang w:val="en-US" w:eastAsia="zh-CN" w:bidi="ar-SA"/>
        </w:rPr>
        <w:t>（5）</w:t>
      </w:r>
      <w:r>
        <w:rPr>
          <w:rFonts w:hint="eastAsia" w:ascii="Times New Roman" w:hAnsi="Times New Roman" w:eastAsia="黑体" w:cs="Times New Roman"/>
          <w:b/>
          <w:kern w:val="0"/>
          <w:sz w:val="24"/>
          <w:szCs w:val="24"/>
          <w:lang w:val="en-US" w:eastAsia="zh-CN" w:bidi="ar-SA"/>
        </w:rPr>
        <w:t>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hAns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22"/>
        <w:snapToGrid w:val="0"/>
        <w:spacing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22"/>
        <w:snapToGrid w:val="0"/>
        <w:spacing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3.投资于存款类资产的可能风险：本产品拟投资的存款类资产在极端情况下可能面临被拒绝支取、因提前支取而被收取罚息等费用的风险，从而影响投资者收益，甚至使本产品本金遭受损失。</w:t>
      </w:r>
    </w:p>
    <w:p>
      <w:pPr>
        <w:pStyle w:val="22"/>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22"/>
        <w:numPr>
          <w:ilvl w:val="0"/>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kern w:val="0"/>
          <w:sz w:val="24"/>
          <w:szCs w:val="24"/>
          <w:lang w:val="en-US" w:eastAsia="zh-CN" w:bidi="ar-SA"/>
        </w:rPr>
        <w:t xml:space="preserve">    5.</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包括本理财产品、所投资的公募基金、信托计划、资产管理计划等资产管理产品的受托人、资产管理人、相关投资顾问)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22"/>
        <w:numPr>
          <w:ilvl w:val="0"/>
          <w:numId w:val="0"/>
        </w:numPr>
        <w:snapToGrid w:val="0"/>
        <w:spacing w:line="276" w:lineRule="auto"/>
        <w:ind w:firstLine="0" w:firstLineChars="0"/>
        <w:contextualSpacing/>
        <w:jc w:val="both"/>
        <w:rPr>
          <w:rFonts w:hint="eastAsia" w:ascii="Times New Roman" w:eastAsia="黑体" w:cs="Times New Roman"/>
          <w:b/>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一</w:t>
      </w:r>
      <w:r>
        <w:rPr>
          <w:rFonts w:ascii="仿宋" w:hAnsi="仿宋" w:eastAsia="仿宋"/>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（二）理财产品临时</w:t>
      </w:r>
      <w:r>
        <w:rPr>
          <w:rFonts w:hint="eastAsia" w:ascii="仿宋" w:hAnsi="仿宋" w:eastAsia="仿宋"/>
        </w:rPr>
        <w:t>性</w:t>
      </w:r>
      <w:r>
        <w:rPr>
          <w:rFonts w:ascii="仿宋" w:hAnsi="仿宋" w:eastAsia="仿宋"/>
        </w:rPr>
        <w:t>信息披露</w:t>
      </w:r>
      <w:r>
        <w:rPr>
          <w:rFonts w:hint="eastAsia" w:ascii="仿宋" w:hAnsi="仿宋" w:eastAsia="仿宋"/>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三</w:t>
      </w:r>
      <w:r>
        <w:rPr>
          <w:rFonts w:ascii="仿宋" w:hAnsi="仿宋" w:eastAsia="仿宋"/>
        </w:rPr>
        <w:t>）</w:t>
      </w:r>
      <w:r>
        <w:rPr>
          <w:rFonts w:hint="eastAsia" w:ascii="仿宋" w:hAnsi="仿宋" w:eastAsia="仿宋"/>
        </w:rPr>
        <w:t>管理人</w:t>
      </w:r>
      <w:r>
        <w:rPr>
          <w:rFonts w:ascii="仿宋" w:hAnsi="仿宋" w:eastAsia="仿宋"/>
        </w:rPr>
        <w:t>信息披露</w:t>
      </w:r>
      <w:r>
        <w:rPr>
          <w:rFonts w:hint="eastAsia" w:ascii="仿宋" w:hAnsi="仿宋" w:eastAsia="仿宋"/>
        </w:rPr>
        <w:t>的方式</w:t>
      </w:r>
      <w:r>
        <w:rPr>
          <w:rFonts w:ascii="仿宋" w:hAnsi="仿宋" w:eastAsia="仿宋"/>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（四）投资者关于信息披露的确认</w:t>
      </w:r>
    </w:p>
    <w:p>
      <w:pPr>
        <w:spacing w:after="156" w:afterLines="50" w:line="276" w:lineRule="auto"/>
        <w:ind w:firstLine="480"/>
        <w:contextualSpacing/>
        <w:rPr>
          <w:rFonts w:eastAsia="黑体"/>
          <w:b/>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黑体" w:hAnsi="黑体" w:eastAsia="黑体" w:cs="黑体"/>
          <w:b/>
          <w:bCs/>
          <w:kern w:val="0"/>
          <w:sz w:val="24"/>
        </w:rPr>
        <w:t>华夏理财有限责任公司官方网站（www.hxwm.com.cn）</w:t>
      </w:r>
      <w:r>
        <w:rPr>
          <w:rFonts w:hint="eastAsia" w:ascii="黑体" w:hAnsi="黑体" w:eastAsia="黑体" w:cs="黑体"/>
          <w:b/>
          <w:bCs/>
          <w:color w:val="000000"/>
          <w:kern w:val="0"/>
          <w:sz w:val="24"/>
        </w:rPr>
        <w:t>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003F01FF" w:csb1="00000000"/>
  </w:font>
  <w:font w:name="仿宋_GB2312">
    <w:altName w:val="仿宋"/>
    <w:panose1 w:val="02010609030101010101"/>
    <w:charset w:val="86"/>
    <w:family w:val="auto"/>
    <w:pitch w:val="default"/>
    <w:sig w:usb0="00000000" w:usb1="00000000" w:usb2="00000010" w:usb3="00000000" w:csb0="00040000" w:csb1="00000000"/>
  </w:font>
  <w:font w:name="微软简仿宋">
    <w:panose1 w:val="00000000000000000000"/>
    <w:charset w:val="86"/>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D32496"/>
    <w:multiLevelType w:val="singleLevel"/>
    <w:tmpl w:val="64D32496"/>
    <w:lvl w:ilvl="0" w:tentative="0">
      <w:start w:val="1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72A27"/>
    <w:rsid w:val="00002DCA"/>
    <w:rsid w:val="0000532D"/>
    <w:rsid w:val="00020F81"/>
    <w:rsid w:val="0004783E"/>
    <w:rsid w:val="00063561"/>
    <w:rsid w:val="000713E1"/>
    <w:rsid w:val="000805E4"/>
    <w:rsid w:val="000A3C07"/>
    <w:rsid w:val="000B32CF"/>
    <w:rsid w:val="000D002A"/>
    <w:rsid w:val="000D7DE2"/>
    <w:rsid w:val="000E195A"/>
    <w:rsid w:val="000E7817"/>
    <w:rsid w:val="000F0804"/>
    <w:rsid w:val="00111D14"/>
    <w:rsid w:val="001260F4"/>
    <w:rsid w:val="001318D7"/>
    <w:rsid w:val="00141481"/>
    <w:rsid w:val="001423F3"/>
    <w:rsid w:val="00146323"/>
    <w:rsid w:val="00170760"/>
    <w:rsid w:val="00172A27"/>
    <w:rsid w:val="001B29E5"/>
    <w:rsid w:val="001B6BFA"/>
    <w:rsid w:val="001E4307"/>
    <w:rsid w:val="00214B23"/>
    <w:rsid w:val="00226451"/>
    <w:rsid w:val="00227F2A"/>
    <w:rsid w:val="00246DFC"/>
    <w:rsid w:val="00294355"/>
    <w:rsid w:val="002A2967"/>
    <w:rsid w:val="002A2FEF"/>
    <w:rsid w:val="002E7F9D"/>
    <w:rsid w:val="00311EF5"/>
    <w:rsid w:val="00351C38"/>
    <w:rsid w:val="00365E5C"/>
    <w:rsid w:val="00372A7F"/>
    <w:rsid w:val="003923B3"/>
    <w:rsid w:val="003B2A65"/>
    <w:rsid w:val="003D55AF"/>
    <w:rsid w:val="003D65A8"/>
    <w:rsid w:val="003E4BEB"/>
    <w:rsid w:val="003E7186"/>
    <w:rsid w:val="003F4E18"/>
    <w:rsid w:val="003F6114"/>
    <w:rsid w:val="003F7ADE"/>
    <w:rsid w:val="004021F4"/>
    <w:rsid w:val="0044086D"/>
    <w:rsid w:val="00462536"/>
    <w:rsid w:val="00472E75"/>
    <w:rsid w:val="004734C8"/>
    <w:rsid w:val="00494748"/>
    <w:rsid w:val="004C4084"/>
    <w:rsid w:val="004E7D97"/>
    <w:rsid w:val="004F4E81"/>
    <w:rsid w:val="004F648F"/>
    <w:rsid w:val="005114E6"/>
    <w:rsid w:val="00512B7C"/>
    <w:rsid w:val="0054575F"/>
    <w:rsid w:val="005604F6"/>
    <w:rsid w:val="00560CC1"/>
    <w:rsid w:val="005727C8"/>
    <w:rsid w:val="00580D81"/>
    <w:rsid w:val="005C08EC"/>
    <w:rsid w:val="005F66E4"/>
    <w:rsid w:val="00601E1F"/>
    <w:rsid w:val="006075D0"/>
    <w:rsid w:val="00613BD1"/>
    <w:rsid w:val="006447D6"/>
    <w:rsid w:val="00646EEE"/>
    <w:rsid w:val="00650968"/>
    <w:rsid w:val="00656FE9"/>
    <w:rsid w:val="00670595"/>
    <w:rsid w:val="00675AFE"/>
    <w:rsid w:val="00677437"/>
    <w:rsid w:val="00681E3A"/>
    <w:rsid w:val="0068328B"/>
    <w:rsid w:val="006860DD"/>
    <w:rsid w:val="0069073D"/>
    <w:rsid w:val="006915E0"/>
    <w:rsid w:val="006D3A14"/>
    <w:rsid w:val="006E0E9D"/>
    <w:rsid w:val="006E742E"/>
    <w:rsid w:val="006F119A"/>
    <w:rsid w:val="006F13D3"/>
    <w:rsid w:val="00712CC7"/>
    <w:rsid w:val="007311CA"/>
    <w:rsid w:val="00734D46"/>
    <w:rsid w:val="0076606B"/>
    <w:rsid w:val="00777429"/>
    <w:rsid w:val="007815CF"/>
    <w:rsid w:val="00792744"/>
    <w:rsid w:val="007E6C0E"/>
    <w:rsid w:val="007F32C1"/>
    <w:rsid w:val="00807591"/>
    <w:rsid w:val="008277B6"/>
    <w:rsid w:val="008340D5"/>
    <w:rsid w:val="00836CF0"/>
    <w:rsid w:val="00843345"/>
    <w:rsid w:val="00846F1F"/>
    <w:rsid w:val="00852D93"/>
    <w:rsid w:val="00863612"/>
    <w:rsid w:val="00887E73"/>
    <w:rsid w:val="008D19F3"/>
    <w:rsid w:val="008D5335"/>
    <w:rsid w:val="008D5F85"/>
    <w:rsid w:val="008E0C40"/>
    <w:rsid w:val="008E3F96"/>
    <w:rsid w:val="008E628E"/>
    <w:rsid w:val="008F024E"/>
    <w:rsid w:val="008F6891"/>
    <w:rsid w:val="00902123"/>
    <w:rsid w:val="00916782"/>
    <w:rsid w:val="00930217"/>
    <w:rsid w:val="00966B79"/>
    <w:rsid w:val="00971A91"/>
    <w:rsid w:val="00972105"/>
    <w:rsid w:val="00991FA8"/>
    <w:rsid w:val="009A3572"/>
    <w:rsid w:val="009C0A85"/>
    <w:rsid w:val="009C4B76"/>
    <w:rsid w:val="009C5840"/>
    <w:rsid w:val="009E3137"/>
    <w:rsid w:val="009E6D89"/>
    <w:rsid w:val="009F0D25"/>
    <w:rsid w:val="009F1CB5"/>
    <w:rsid w:val="00A25440"/>
    <w:rsid w:val="00A33474"/>
    <w:rsid w:val="00A35A4D"/>
    <w:rsid w:val="00A44BF6"/>
    <w:rsid w:val="00A51A90"/>
    <w:rsid w:val="00A547BE"/>
    <w:rsid w:val="00A70D27"/>
    <w:rsid w:val="00A87692"/>
    <w:rsid w:val="00A93593"/>
    <w:rsid w:val="00A978E7"/>
    <w:rsid w:val="00AA7D8A"/>
    <w:rsid w:val="00AD7FE0"/>
    <w:rsid w:val="00AE1B0B"/>
    <w:rsid w:val="00AE26B5"/>
    <w:rsid w:val="00AE7F75"/>
    <w:rsid w:val="00AF3F07"/>
    <w:rsid w:val="00B47C68"/>
    <w:rsid w:val="00B5695A"/>
    <w:rsid w:val="00BA77A8"/>
    <w:rsid w:val="00BB3661"/>
    <w:rsid w:val="00BB4269"/>
    <w:rsid w:val="00BB72E5"/>
    <w:rsid w:val="00BC4B7F"/>
    <w:rsid w:val="00BE076D"/>
    <w:rsid w:val="00BE4A47"/>
    <w:rsid w:val="00C04B81"/>
    <w:rsid w:val="00C33E4C"/>
    <w:rsid w:val="00C55B92"/>
    <w:rsid w:val="00C97983"/>
    <w:rsid w:val="00CC7010"/>
    <w:rsid w:val="00D04171"/>
    <w:rsid w:val="00D04582"/>
    <w:rsid w:val="00D06C20"/>
    <w:rsid w:val="00D3392B"/>
    <w:rsid w:val="00D34745"/>
    <w:rsid w:val="00D35D75"/>
    <w:rsid w:val="00D55F86"/>
    <w:rsid w:val="00D65353"/>
    <w:rsid w:val="00D919BF"/>
    <w:rsid w:val="00DC3F67"/>
    <w:rsid w:val="00DD0C1D"/>
    <w:rsid w:val="00DE02F1"/>
    <w:rsid w:val="00DE2987"/>
    <w:rsid w:val="00DF66C5"/>
    <w:rsid w:val="00E14138"/>
    <w:rsid w:val="00E46D53"/>
    <w:rsid w:val="00E67222"/>
    <w:rsid w:val="00E8155A"/>
    <w:rsid w:val="00E816F5"/>
    <w:rsid w:val="00E879FF"/>
    <w:rsid w:val="00E95A0F"/>
    <w:rsid w:val="00EE7A2F"/>
    <w:rsid w:val="00EF2CA8"/>
    <w:rsid w:val="00F37C88"/>
    <w:rsid w:val="00F444A8"/>
    <w:rsid w:val="00F5357A"/>
    <w:rsid w:val="00F56D69"/>
    <w:rsid w:val="00F9415B"/>
    <w:rsid w:val="00FB4720"/>
    <w:rsid w:val="00FC1677"/>
    <w:rsid w:val="00FD2903"/>
    <w:rsid w:val="00FE1291"/>
    <w:rsid w:val="00FE482B"/>
    <w:rsid w:val="00FF56AD"/>
    <w:rsid w:val="018D5F51"/>
    <w:rsid w:val="01EB6FEC"/>
    <w:rsid w:val="020578AC"/>
    <w:rsid w:val="02377743"/>
    <w:rsid w:val="026A609C"/>
    <w:rsid w:val="03357777"/>
    <w:rsid w:val="03A46E8A"/>
    <w:rsid w:val="03DB06FE"/>
    <w:rsid w:val="046E56D3"/>
    <w:rsid w:val="049D2AC6"/>
    <w:rsid w:val="04B16B62"/>
    <w:rsid w:val="051C674E"/>
    <w:rsid w:val="05215177"/>
    <w:rsid w:val="06106106"/>
    <w:rsid w:val="06490B74"/>
    <w:rsid w:val="06996718"/>
    <w:rsid w:val="06E52844"/>
    <w:rsid w:val="07026ACD"/>
    <w:rsid w:val="071C6013"/>
    <w:rsid w:val="08961A5A"/>
    <w:rsid w:val="08A96CC2"/>
    <w:rsid w:val="08C41F33"/>
    <w:rsid w:val="08D03FC7"/>
    <w:rsid w:val="0A0F44CD"/>
    <w:rsid w:val="0AA97A8C"/>
    <w:rsid w:val="0B047D48"/>
    <w:rsid w:val="0B5542A8"/>
    <w:rsid w:val="0B9C5D9B"/>
    <w:rsid w:val="0BA27F6B"/>
    <w:rsid w:val="0C510FA4"/>
    <w:rsid w:val="0C9E5955"/>
    <w:rsid w:val="0D4C0E51"/>
    <w:rsid w:val="0D511F69"/>
    <w:rsid w:val="0D5A24E8"/>
    <w:rsid w:val="0DC52C23"/>
    <w:rsid w:val="0DF70178"/>
    <w:rsid w:val="0E3C3C0F"/>
    <w:rsid w:val="0E966946"/>
    <w:rsid w:val="0EE542A1"/>
    <w:rsid w:val="0F0E3C1D"/>
    <w:rsid w:val="0F2862EC"/>
    <w:rsid w:val="0F806FD5"/>
    <w:rsid w:val="0FE53808"/>
    <w:rsid w:val="105D61FB"/>
    <w:rsid w:val="10AF5991"/>
    <w:rsid w:val="117C0D4E"/>
    <w:rsid w:val="11BB3DB9"/>
    <w:rsid w:val="11D21B30"/>
    <w:rsid w:val="123B658C"/>
    <w:rsid w:val="12822D5D"/>
    <w:rsid w:val="12AD4D73"/>
    <w:rsid w:val="12C34F17"/>
    <w:rsid w:val="12CD4972"/>
    <w:rsid w:val="12FA2A1E"/>
    <w:rsid w:val="12FB08EA"/>
    <w:rsid w:val="13B35082"/>
    <w:rsid w:val="142741A0"/>
    <w:rsid w:val="14FD2EFF"/>
    <w:rsid w:val="152A1DB0"/>
    <w:rsid w:val="155D4436"/>
    <w:rsid w:val="1637208E"/>
    <w:rsid w:val="16457F02"/>
    <w:rsid w:val="1675525F"/>
    <w:rsid w:val="169510B8"/>
    <w:rsid w:val="16B5042D"/>
    <w:rsid w:val="16DD4AF1"/>
    <w:rsid w:val="174C5C47"/>
    <w:rsid w:val="178D27B4"/>
    <w:rsid w:val="182014A2"/>
    <w:rsid w:val="18294E04"/>
    <w:rsid w:val="183B50FC"/>
    <w:rsid w:val="18495C49"/>
    <w:rsid w:val="1892050E"/>
    <w:rsid w:val="18D80C51"/>
    <w:rsid w:val="18EE0BF6"/>
    <w:rsid w:val="18FF0F1B"/>
    <w:rsid w:val="191120AF"/>
    <w:rsid w:val="198557BA"/>
    <w:rsid w:val="19CE04CC"/>
    <w:rsid w:val="1A707A6D"/>
    <w:rsid w:val="1A7D6D25"/>
    <w:rsid w:val="1A816486"/>
    <w:rsid w:val="1A893942"/>
    <w:rsid w:val="1A907FA2"/>
    <w:rsid w:val="1AD533CC"/>
    <w:rsid w:val="1B5F5984"/>
    <w:rsid w:val="1BA64FD1"/>
    <w:rsid w:val="1BBC5A18"/>
    <w:rsid w:val="1BE97487"/>
    <w:rsid w:val="1C6357AF"/>
    <w:rsid w:val="1CAC5E2B"/>
    <w:rsid w:val="1CDF5587"/>
    <w:rsid w:val="1CF10D78"/>
    <w:rsid w:val="1D023468"/>
    <w:rsid w:val="1D0736D5"/>
    <w:rsid w:val="1D5D728B"/>
    <w:rsid w:val="1D795BF8"/>
    <w:rsid w:val="1DA262B5"/>
    <w:rsid w:val="1E356AFA"/>
    <w:rsid w:val="1E724912"/>
    <w:rsid w:val="1E8F70B8"/>
    <w:rsid w:val="1E936936"/>
    <w:rsid w:val="1F4F61EE"/>
    <w:rsid w:val="1F527064"/>
    <w:rsid w:val="204A0870"/>
    <w:rsid w:val="205C3FCF"/>
    <w:rsid w:val="20740963"/>
    <w:rsid w:val="208F40B8"/>
    <w:rsid w:val="20C822D8"/>
    <w:rsid w:val="21FA0627"/>
    <w:rsid w:val="220D5EC8"/>
    <w:rsid w:val="22220369"/>
    <w:rsid w:val="223431B1"/>
    <w:rsid w:val="22A15AE0"/>
    <w:rsid w:val="22C149FC"/>
    <w:rsid w:val="22F1518B"/>
    <w:rsid w:val="236434A9"/>
    <w:rsid w:val="238C25BD"/>
    <w:rsid w:val="23DF305B"/>
    <w:rsid w:val="246A62AE"/>
    <w:rsid w:val="24A91031"/>
    <w:rsid w:val="24FD16F2"/>
    <w:rsid w:val="2540580E"/>
    <w:rsid w:val="254A0B53"/>
    <w:rsid w:val="25665B19"/>
    <w:rsid w:val="25E72FA7"/>
    <w:rsid w:val="273147E4"/>
    <w:rsid w:val="27487015"/>
    <w:rsid w:val="27A50231"/>
    <w:rsid w:val="28347384"/>
    <w:rsid w:val="287A4275"/>
    <w:rsid w:val="29711978"/>
    <w:rsid w:val="298634AE"/>
    <w:rsid w:val="2A2E3427"/>
    <w:rsid w:val="2A567387"/>
    <w:rsid w:val="2AC21136"/>
    <w:rsid w:val="2AED21E9"/>
    <w:rsid w:val="2B3649F4"/>
    <w:rsid w:val="2B4675FA"/>
    <w:rsid w:val="2BB602C5"/>
    <w:rsid w:val="2BD85FC4"/>
    <w:rsid w:val="2BF50AB4"/>
    <w:rsid w:val="2C1C5AFD"/>
    <w:rsid w:val="2C60414E"/>
    <w:rsid w:val="2CD424E2"/>
    <w:rsid w:val="2CDB7E63"/>
    <w:rsid w:val="2D38176A"/>
    <w:rsid w:val="2D434FF8"/>
    <w:rsid w:val="2DA05DCE"/>
    <w:rsid w:val="2EC208DF"/>
    <w:rsid w:val="2F223C18"/>
    <w:rsid w:val="2F401A95"/>
    <w:rsid w:val="2F517C68"/>
    <w:rsid w:val="2F854CC7"/>
    <w:rsid w:val="2FDD2BC4"/>
    <w:rsid w:val="2FF679D7"/>
    <w:rsid w:val="3058472F"/>
    <w:rsid w:val="30653C55"/>
    <w:rsid w:val="307C6D47"/>
    <w:rsid w:val="30B93C1E"/>
    <w:rsid w:val="30F83A0E"/>
    <w:rsid w:val="30FA128B"/>
    <w:rsid w:val="320C78A0"/>
    <w:rsid w:val="322D4AD1"/>
    <w:rsid w:val="3235704A"/>
    <w:rsid w:val="32726967"/>
    <w:rsid w:val="329A0B6A"/>
    <w:rsid w:val="329D05C7"/>
    <w:rsid w:val="32C642E9"/>
    <w:rsid w:val="32D2088E"/>
    <w:rsid w:val="32E479BE"/>
    <w:rsid w:val="332573C9"/>
    <w:rsid w:val="336C5C32"/>
    <w:rsid w:val="33F3040F"/>
    <w:rsid w:val="34854AB1"/>
    <w:rsid w:val="34A63F82"/>
    <w:rsid w:val="34BF4198"/>
    <w:rsid w:val="350A7012"/>
    <w:rsid w:val="360161F0"/>
    <w:rsid w:val="36050641"/>
    <w:rsid w:val="361F6B5B"/>
    <w:rsid w:val="36365F0F"/>
    <w:rsid w:val="365C6B3D"/>
    <w:rsid w:val="372651A6"/>
    <w:rsid w:val="379A4E61"/>
    <w:rsid w:val="382265A3"/>
    <w:rsid w:val="385467B2"/>
    <w:rsid w:val="386B45BC"/>
    <w:rsid w:val="38A71E3C"/>
    <w:rsid w:val="39223F50"/>
    <w:rsid w:val="394C6E9C"/>
    <w:rsid w:val="39915230"/>
    <w:rsid w:val="39A47D94"/>
    <w:rsid w:val="39B533F4"/>
    <w:rsid w:val="39CD5E4B"/>
    <w:rsid w:val="3A166DB1"/>
    <w:rsid w:val="3A6464DA"/>
    <w:rsid w:val="3B0D1F3F"/>
    <w:rsid w:val="3B35691C"/>
    <w:rsid w:val="3B376401"/>
    <w:rsid w:val="3B8B78CF"/>
    <w:rsid w:val="3C691FB2"/>
    <w:rsid w:val="3D1957A0"/>
    <w:rsid w:val="3D3B3330"/>
    <w:rsid w:val="3D794D6C"/>
    <w:rsid w:val="3F996600"/>
    <w:rsid w:val="401A73E5"/>
    <w:rsid w:val="40270632"/>
    <w:rsid w:val="40897331"/>
    <w:rsid w:val="41084885"/>
    <w:rsid w:val="413B574D"/>
    <w:rsid w:val="41637739"/>
    <w:rsid w:val="41A75327"/>
    <w:rsid w:val="41A8252A"/>
    <w:rsid w:val="42511776"/>
    <w:rsid w:val="425C3FD4"/>
    <w:rsid w:val="42726493"/>
    <w:rsid w:val="44C2436C"/>
    <w:rsid w:val="44D90650"/>
    <w:rsid w:val="45225B34"/>
    <w:rsid w:val="454247FC"/>
    <w:rsid w:val="456B1E84"/>
    <w:rsid w:val="45937A12"/>
    <w:rsid w:val="45AB7274"/>
    <w:rsid w:val="45C2437E"/>
    <w:rsid w:val="46247283"/>
    <w:rsid w:val="464740FB"/>
    <w:rsid w:val="466B4F36"/>
    <w:rsid w:val="46945BA3"/>
    <w:rsid w:val="469C1860"/>
    <w:rsid w:val="47B14EAE"/>
    <w:rsid w:val="48100387"/>
    <w:rsid w:val="489F1960"/>
    <w:rsid w:val="48AD6D6F"/>
    <w:rsid w:val="492F3120"/>
    <w:rsid w:val="495B4660"/>
    <w:rsid w:val="49866A44"/>
    <w:rsid w:val="4A646C71"/>
    <w:rsid w:val="4A73155F"/>
    <w:rsid w:val="4A974BFD"/>
    <w:rsid w:val="4B041272"/>
    <w:rsid w:val="4B9A6CD9"/>
    <w:rsid w:val="4BAE0B3C"/>
    <w:rsid w:val="4CC42E4B"/>
    <w:rsid w:val="4CD55DF0"/>
    <w:rsid w:val="4DA41B7F"/>
    <w:rsid w:val="4DED30E6"/>
    <w:rsid w:val="4E006899"/>
    <w:rsid w:val="4E4604CC"/>
    <w:rsid w:val="4E6B607B"/>
    <w:rsid w:val="4E7E67D5"/>
    <w:rsid w:val="4E834167"/>
    <w:rsid w:val="4EE704C2"/>
    <w:rsid w:val="500E145A"/>
    <w:rsid w:val="500E49CD"/>
    <w:rsid w:val="500F1CD5"/>
    <w:rsid w:val="50F30A3E"/>
    <w:rsid w:val="511D25A1"/>
    <w:rsid w:val="5143646D"/>
    <w:rsid w:val="51695710"/>
    <w:rsid w:val="51A36407"/>
    <w:rsid w:val="51D60B75"/>
    <w:rsid w:val="51D91B25"/>
    <w:rsid w:val="5202225E"/>
    <w:rsid w:val="521557F3"/>
    <w:rsid w:val="52C77658"/>
    <w:rsid w:val="52DB0D77"/>
    <w:rsid w:val="53BF0718"/>
    <w:rsid w:val="56444969"/>
    <w:rsid w:val="56516960"/>
    <w:rsid w:val="57176092"/>
    <w:rsid w:val="57262273"/>
    <w:rsid w:val="575C7B62"/>
    <w:rsid w:val="57DD0263"/>
    <w:rsid w:val="58083A83"/>
    <w:rsid w:val="581B10FA"/>
    <w:rsid w:val="582156EE"/>
    <w:rsid w:val="58427747"/>
    <w:rsid w:val="58672F83"/>
    <w:rsid w:val="58B94C78"/>
    <w:rsid w:val="58BB4CDB"/>
    <w:rsid w:val="58F96B51"/>
    <w:rsid w:val="59AA3EAA"/>
    <w:rsid w:val="59AD702D"/>
    <w:rsid w:val="59D14CC4"/>
    <w:rsid w:val="59EF730D"/>
    <w:rsid w:val="59FF73A2"/>
    <w:rsid w:val="5A945937"/>
    <w:rsid w:val="5AA340C2"/>
    <w:rsid w:val="5AB6501F"/>
    <w:rsid w:val="5B9E1D5B"/>
    <w:rsid w:val="5BCB323C"/>
    <w:rsid w:val="5CC83D65"/>
    <w:rsid w:val="5D790E7F"/>
    <w:rsid w:val="5DC24B3C"/>
    <w:rsid w:val="5DC63A4E"/>
    <w:rsid w:val="5DED53D1"/>
    <w:rsid w:val="5E1B7959"/>
    <w:rsid w:val="5E2B4B2F"/>
    <w:rsid w:val="5EAD142E"/>
    <w:rsid w:val="5EF76013"/>
    <w:rsid w:val="5EFE5A8B"/>
    <w:rsid w:val="5F3F3BFD"/>
    <w:rsid w:val="5F7071A8"/>
    <w:rsid w:val="5FC6181B"/>
    <w:rsid w:val="60066955"/>
    <w:rsid w:val="601211DC"/>
    <w:rsid w:val="60292197"/>
    <w:rsid w:val="60517B0B"/>
    <w:rsid w:val="6096016A"/>
    <w:rsid w:val="610C5CC5"/>
    <w:rsid w:val="612829F8"/>
    <w:rsid w:val="619A0DA9"/>
    <w:rsid w:val="61C43619"/>
    <w:rsid w:val="6210426E"/>
    <w:rsid w:val="62126C3A"/>
    <w:rsid w:val="62325267"/>
    <w:rsid w:val="63510BEE"/>
    <w:rsid w:val="637E758B"/>
    <w:rsid w:val="638119A8"/>
    <w:rsid w:val="642D51FD"/>
    <w:rsid w:val="64312382"/>
    <w:rsid w:val="644E4B1D"/>
    <w:rsid w:val="64651B49"/>
    <w:rsid w:val="648C2CC5"/>
    <w:rsid w:val="64A11C37"/>
    <w:rsid w:val="64A55F1E"/>
    <w:rsid w:val="650A047C"/>
    <w:rsid w:val="652C5EC9"/>
    <w:rsid w:val="65353764"/>
    <w:rsid w:val="657171FE"/>
    <w:rsid w:val="65A46AEA"/>
    <w:rsid w:val="65EC5F0A"/>
    <w:rsid w:val="66EC4D96"/>
    <w:rsid w:val="6736101B"/>
    <w:rsid w:val="68370CCC"/>
    <w:rsid w:val="684D7DEF"/>
    <w:rsid w:val="68585ADF"/>
    <w:rsid w:val="68A77809"/>
    <w:rsid w:val="68C94029"/>
    <w:rsid w:val="691226D5"/>
    <w:rsid w:val="695217DC"/>
    <w:rsid w:val="69923628"/>
    <w:rsid w:val="69C37032"/>
    <w:rsid w:val="6A2C55E6"/>
    <w:rsid w:val="6AFC54E5"/>
    <w:rsid w:val="6B2F26F6"/>
    <w:rsid w:val="6B895F90"/>
    <w:rsid w:val="6BCA0362"/>
    <w:rsid w:val="6BD916EE"/>
    <w:rsid w:val="6CCA1A7F"/>
    <w:rsid w:val="6DD3641A"/>
    <w:rsid w:val="6E035291"/>
    <w:rsid w:val="6E1206A4"/>
    <w:rsid w:val="6E5A3D7E"/>
    <w:rsid w:val="6FDB28A3"/>
    <w:rsid w:val="703933A1"/>
    <w:rsid w:val="70AA0758"/>
    <w:rsid w:val="70B61502"/>
    <w:rsid w:val="70CE17C7"/>
    <w:rsid w:val="70F5166C"/>
    <w:rsid w:val="71981EC0"/>
    <w:rsid w:val="71EF5ACB"/>
    <w:rsid w:val="72145BFB"/>
    <w:rsid w:val="722B706A"/>
    <w:rsid w:val="723369CC"/>
    <w:rsid w:val="723B233B"/>
    <w:rsid w:val="724F5D5C"/>
    <w:rsid w:val="72595DB6"/>
    <w:rsid w:val="728E0A16"/>
    <w:rsid w:val="729371FE"/>
    <w:rsid w:val="72C43ABF"/>
    <w:rsid w:val="72E929DE"/>
    <w:rsid w:val="72EF2B1D"/>
    <w:rsid w:val="738D015F"/>
    <w:rsid w:val="73990B03"/>
    <w:rsid w:val="745751F5"/>
    <w:rsid w:val="74892FD1"/>
    <w:rsid w:val="74FB18F9"/>
    <w:rsid w:val="75616560"/>
    <w:rsid w:val="75E158E8"/>
    <w:rsid w:val="75F80517"/>
    <w:rsid w:val="76C57715"/>
    <w:rsid w:val="771479EA"/>
    <w:rsid w:val="771C35A1"/>
    <w:rsid w:val="77A03719"/>
    <w:rsid w:val="78223427"/>
    <w:rsid w:val="789923C9"/>
    <w:rsid w:val="78A4259B"/>
    <w:rsid w:val="78C31CAF"/>
    <w:rsid w:val="78CE6E70"/>
    <w:rsid w:val="78FC6178"/>
    <w:rsid w:val="795B3486"/>
    <w:rsid w:val="79B75ECC"/>
    <w:rsid w:val="79E45FD6"/>
    <w:rsid w:val="7A52270E"/>
    <w:rsid w:val="7AD0105B"/>
    <w:rsid w:val="7AF92581"/>
    <w:rsid w:val="7B044A15"/>
    <w:rsid w:val="7B170E00"/>
    <w:rsid w:val="7B3057E8"/>
    <w:rsid w:val="7B471A04"/>
    <w:rsid w:val="7B655D19"/>
    <w:rsid w:val="7B7049E5"/>
    <w:rsid w:val="7C721F5F"/>
    <w:rsid w:val="7C7D36C4"/>
    <w:rsid w:val="7D197A3B"/>
    <w:rsid w:val="7D1F7EDB"/>
    <w:rsid w:val="7D3707EB"/>
    <w:rsid w:val="7DAC4B36"/>
    <w:rsid w:val="7E431677"/>
    <w:rsid w:val="7E5572E2"/>
    <w:rsid w:val="7E9A3A0C"/>
    <w:rsid w:val="7ED67996"/>
    <w:rsid w:val="7F116F65"/>
    <w:rsid w:val="7F516160"/>
    <w:rsid w:val="7FB0211B"/>
    <w:rsid w:val="7FD45F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unhideWhenUsed/>
    <w:qFormat/>
    <w:uiPriority w:val="0"/>
    <w:pPr>
      <w:ind w:firstLine="630"/>
    </w:pPr>
    <w:rPr>
      <w:kern w:val="0"/>
      <w:sz w:val="24"/>
    </w:rPr>
  </w:style>
  <w:style w:type="paragraph" w:styleId="7">
    <w:name w:val="Body Text Indent 2"/>
    <w:basedOn w:val="1"/>
    <w:unhideWhenUsed/>
    <w:qFormat/>
    <w:uiPriority w:val="0"/>
    <w:pPr>
      <w:ind w:firstLine="600"/>
    </w:pPr>
    <w:rPr>
      <w:kern w:val="0"/>
      <w:sz w:val="24"/>
    </w:rPr>
  </w:style>
  <w:style w:type="paragraph" w:styleId="8">
    <w:name w:val="Balloon Text"/>
    <w:basedOn w:val="1"/>
    <w:semiHidden/>
    <w:qFormat/>
    <w:uiPriority w:val="0"/>
    <w:rPr>
      <w:sz w:val="18"/>
      <w:szCs w:val="18"/>
    </w:rPr>
  </w:style>
  <w:style w:type="paragraph" w:styleId="9">
    <w:name w:val="footer"/>
    <w:basedOn w:val="1"/>
    <w:unhideWhenUsed/>
    <w:qFormat/>
    <w:uiPriority w:val="0"/>
    <w:pPr>
      <w:tabs>
        <w:tab w:val="center" w:pos="4153"/>
        <w:tab w:val="right" w:pos="8306"/>
      </w:tabs>
      <w:snapToGrid w:val="0"/>
      <w:jc w:val="left"/>
    </w:pPr>
    <w:rPr>
      <w:sz w:val="18"/>
      <w:szCs w:val="20"/>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2">
    <w:name w:val="Table Grid"/>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style>
  <w:style w:type="character" w:styleId="15">
    <w:name w:val="Emphasis"/>
    <w:qFormat/>
    <w:uiPriority w:val="0"/>
  </w:style>
  <w:style w:type="character" w:styleId="16">
    <w:name w:val="HTML Definition"/>
    <w:qFormat/>
    <w:uiPriority w:val="0"/>
  </w:style>
  <w:style w:type="character" w:styleId="17">
    <w:name w:val="HTML Acronym"/>
    <w:basedOn w:val="13"/>
    <w:qFormat/>
    <w:uiPriority w:val="0"/>
  </w:style>
  <w:style w:type="character" w:styleId="18">
    <w:name w:val="HTML Variable"/>
    <w:qFormat/>
    <w:uiPriority w:val="0"/>
  </w:style>
  <w:style w:type="character" w:styleId="19">
    <w:name w:val="HTML Code"/>
    <w:qFormat/>
    <w:uiPriority w:val="0"/>
    <w:rPr>
      <w:rFonts w:ascii="Courier New" w:hAnsi="Courier New"/>
      <w:sz w:val="20"/>
      <w:shd w:val="clear" w:color="auto" w:fill="FFFFFF"/>
    </w:rPr>
  </w:style>
  <w:style w:type="character" w:styleId="20">
    <w:name w:val="HTML Cite"/>
    <w:qFormat/>
    <w:uiPriority w:val="0"/>
  </w:style>
  <w:style w:type="paragraph" w:customStyle="1" w:styleId="21">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w:type="paragraph" w:customStyle="1" w:styleId="2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3">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paragraph" w:customStyle="1" w:styleId="24">
    <w:name w:val="p0"/>
    <w:basedOn w:val="1"/>
    <w:qFormat/>
    <w:uiPriority w:val="0"/>
    <w:pPr>
      <w:widowControl/>
    </w:pPr>
    <w:rPr>
      <w:kern w:val="0"/>
      <w:szCs w:val="21"/>
    </w:rPr>
  </w:style>
  <w:style w:type="character" w:customStyle="1" w:styleId="25">
    <w:name w:val="leftmenu-morenav"/>
    <w:basedOn w:val="13"/>
    <w:qFormat/>
    <w:uiPriority w:val="0"/>
  </w:style>
  <w:style w:type="character" w:customStyle="1" w:styleId="26">
    <w:name w:val="disabled"/>
    <w:qFormat/>
    <w:uiPriority w:val="0"/>
    <w:rPr>
      <w:color w:val="CCCCCC"/>
      <w:bdr w:val="single" w:color="CCCCCC" w:sz="6" w:space="0"/>
    </w:rPr>
  </w:style>
  <w:style w:type="character" w:customStyle="1" w:styleId="27">
    <w:name w:val="font11"/>
    <w:qFormat/>
    <w:uiPriority w:val="0"/>
    <w:rPr>
      <w:rFonts w:hint="default" w:ascii="微软简仿宋" w:hAnsi="微软简仿宋" w:eastAsia="微软简仿宋" w:cs="微软简仿宋"/>
      <w:color w:val="000000"/>
      <w:sz w:val="24"/>
      <w:szCs w:val="24"/>
      <w:u w:val="none"/>
    </w:rPr>
  </w:style>
  <w:style w:type="character" w:customStyle="1" w:styleId="28">
    <w:name w:val="current"/>
    <w:qFormat/>
    <w:uiPriority w:val="0"/>
    <w:rPr>
      <w:color w:val="FFFFFF"/>
      <w:bdr w:val="single" w:color="8DB5D7" w:sz="6" w:space="0"/>
      <w:shd w:val="clear" w:color="auto" w:fill="0080FF"/>
    </w:rPr>
  </w:style>
  <w:style w:type="character" w:customStyle="1" w:styleId="29">
    <w:name w:val="font51"/>
    <w:qFormat/>
    <w:uiPriority w:val="0"/>
    <w:rPr>
      <w:rFonts w:hint="default" w:ascii="Times New Roman" w:hAnsi="Times New Roman" w:cs="Times New Roman"/>
      <w:color w:val="000000"/>
      <w:sz w:val="24"/>
      <w:szCs w:val="24"/>
      <w:u w:val="none"/>
    </w:rPr>
  </w:style>
  <w:style w:type="character" w:customStyle="1" w:styleId="30">
    <w:name w:val="font81"/>
    <w:qFormat/>
    <w:uiPriority w:val="0"/>
    <w:rPr>
      <w:rFonts w:hint="default" w:ascii="微软简仿宋" w:hAnsi="微软简仿宋" w:eastAsia="微软简仿宋" w:cs="微软简仿宋"/>
      <w:color w:val="000000"/>
      <w:sz w:val="24"/>
      <w:szCs w:val="24"/>
      <w:u w:val="none"/>
    </w:rPr>
  </w:style>
  <w:style w:type="character" w:customStyle="1" w:styleId="31">
    <w:name w:val="font01"/>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20</Pages>
  <Words>2897</Words>
  <Characters>16516</Characters>
  <Lines>137</Lines>
  <Paragraphs>38</Paragraphs>
  <TotalTime>1</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2023-03-28T08:26:00Z</dcterms:created>
  <dc:creator>ylh</dc:creator>
  <cp:keywords>新版;22-12-28;23-4</cp:keywords>
  <cp:lastModifiedBy>张玲榕</cp:lastModifiedBy>
  <dcterms:modified xsi:type="dcterms:W3CDTF">2025-07-02T03:09:14Z</dcterms:modified>
  <dc:title>华夏理财固定收益纯债最短持有</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769DEC2D12E94BA69ED1C0DF2A3C022A</vt:lpwstr>
  </property>
</Properties>
</file>