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南银理财珠联璧合悦稳（最低持有280天）公募人民币理财产品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南银理财珠联璧合悦稳（最低持有280天）公募人民币理财产品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Z7003222000028（投资者可依据该编码在中国理财网www.chinawealth.com.cn查询理财产品相关信息）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2022年04月27日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4,339,358,254.24份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中粮信托有限责任公司,厦门国际信托有限公司,大成基金管理有限公司,广发基金管理有限公司,鑫元基金管理有限公司,江苏省国际信托有限责任公司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4,069,334,860.87</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1.1018</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1.1018</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714,035,906.79</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1.1053</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1.1053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2025年04月01日 - 2025年05月12日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7.49%</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2025年05月13日 - 2025年06月30日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-0.84%</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2025年04月01日 - 2025年05月12日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7.49%</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2025年05月13日 - 2025年06月30日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-0.84%</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  操作方面，坚持稳健运作的投资理念，对于利差保护较足的信用资产积极配置，同时关注交易活跃品种的波段机会，结合收益率水平做好久期与杠杆管理，获取稳健的投资回报。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截至报告期末，本产品A32005份额净值为1.1018元，A32006份额净值为1.1053元。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3,113,032,155.08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751,785,214.49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384,628,573.08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XJCKX202502270001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网商银行活期存款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270,934,500.00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159395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大成深证基准做市信用债ETF</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50,626,000.00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159397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广发深证基准做市信用债ETF</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50,505,500.00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250457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23生态01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27,476,226.00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257855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25创鸿D1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27,079,110.00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258936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25靖投D3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19,992,180.00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251978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23射城01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15,625,920.00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0120050000000806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南银理财悦稳最低持有280天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产品投资关联方作为管理人的资产管理产品交易金额1,365,000,000.00元。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产品支付关联方托管费238,741.78元，支付关联方代销费1,096,313.04元。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