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南银理财珠联璧合鑫逸稳两年41期封闭式公募人民币理财产品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南银理财珠联璧合鑫逸稳两年41期封闭式公募人民币理财产品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Z7003223000171（投资者可依据该编码在中国理财网www.chinawealth.com.cn查询理财产品相关信息）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172,254,341.00份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55,895,933.35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38,230,040.44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89,940,752.52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截至报告期末，本产品Y60041份额净值为1.0663元，Y61041份额净值为1.0682元，Y62041份额净值为1.0700元。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120,882,782.89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中信信托·兴邦66号泰州固定收益类信托计划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49,595,507.52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14,018,217.36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中信信托·兴邦66号泰州固定收益类信托计划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0101030000000700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南京银行南京分行南银理财鑫逸稳两年41期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产品支付关联方托管费0.00元，支付关联方代销费24,633.91元。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