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DCE0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proofErr w:type="gramStart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</w:t>
      </w:r>
      <w:proofErr w:type="gramEnd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2025年08月06日</w:t>
      </w:r>
    </w:p>
    <w:p w14:paraId="61E5C812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47393919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5056C2" w14:textId="4F39F7A0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理财理财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CE6C68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CE6C68">
        <w:rPr>
          <w:rFonts w:ascii="方正仿宋简体" w:eastAsia="方正仿宋简体" w:hAnsi="仿宋_GB2312" w:cs="仿宋_GB2312" w:hint="eastAsia"/>
          <w:szCs w:val="21"/>
        </w:rPr>
        <w:t>2</w:t>
      </w:r>
      <w:r w:rsidR="00CE6C68">
        <w:rPr>
          <w:rFonts w:ascii="方正仿宋简体" w:eastAsia="方正仿宋简体" w:hAnsi="仿宋_GB2312" w:cs="仿宋_GB2312"/>
          <w:szCs w:val="21"/>
        </w:rPr>
        <w:t>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日，于2025年07月31日至2025年08月06日开放申购/赎回。</w:t>
      </w:r>
    </w:p>
    <w:p w14:paraId="1A1D5926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677DFF30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1C644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01923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260F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031FDD" w14:paraId="06D946E6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3CA4C" w14:textId="77777777" w:rsidR="00031FDD" w:rsidRDefault="003D682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4BB18" w14:textId="77777777" w:rsidR="00031FDD" w:rsidRDefault="003D682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80BA" w14:textId="77777777" w:rsidR="00031FDD" w:rsidRDefault="003D6822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2025-08-14</w:t>
            </w:r>
          </w:p>
        </w:tc>
      </w:tr>
    </w:tbl>
    <w:p w14:paraId="5881AB9D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78BF4E82" w14:textId="77777777" w:rsidTr="005B47F1">
        <w:trPr>
          <w:jc w:val="center"/>
        </w:trPr>
        <w:tc>
          <w:tcPr>
            <w:tcW w:w="1461" w:type="dxa"/>
            <w:vAlign w:val="center"/>
          </w:tcPr>
          <w:p w14:paraId="01A179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2ABF310B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03C92B0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785253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29F28E5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594C1E83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</w:t>
            </w:r>
            <w:proofErr w:type="gramStart"/>
            <w:r>
              <w:rPr>
                <w:rFonts w:ascii="方正仿宋简体" w:eastAsia="方正仿宋简体" w:hAnsi="仿宋_GB2312" w:cs="仿宋_GB2312" w:hint="eastAsia"/>
                <w:szCs w:val="21"/>
              </w:rPr>
              <w:t>参考年化收益率</w:t>
            </w:r>
            <w:proofErr w:type="gramEnd"/>
          </w:p>
        </w:tc>
        <w:tc>
          <w:tcPr>
            <w:tcW w:w="1828" w:type="dxa"/>
            <w:vAlign w:val="center"/>
          </w:tcPr>
          <w:p w14:paraId="583B5F2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031FDD" w14:paraId="0FCF518F" w14:textId="77777777">
        <w:trPr>
          <w:jc w:val="center"/>
        </w:trPr>
        <w:tc>
          <w:tcPr>
            <w:tcW w:w="1461" w:type="dxa"/>
            <w:vAlign w:val="center"/>
          </w:tcPr>
          <w:p w14:paraId="5E33D985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  <w:tc>
          <w:tcPr>
            <w:tcW w:w="1134" w:type="dxa"/>
            <w:vAlign w:val="center"/>
          </w:tcPr>
          <w:p w14:paraId="062CACBF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134" w:type="dxa"/>
            <w:vAlign w:val="center"/>
          </w:tcPr>
          <w:p w14:paraId="7AEBBE4D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1.3761</w:t>
            </w:r>
          </w:p>
        </w:tc>
        <w:tc>
          <w:tcPr>
            <w:tcW w:w="1276" w:type="dxa"/>
            <w:vAlign w:val="center"/>
          </w:tcPr>
          <w:p w14:paraId="40F0828A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275" w:type="dxa"/>
            <w:vAlign w:val="center"/>
          </w:tcPr>
          <w:p w14:paraId="65CCB7A1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418" w:type="dxa"/>
            <w:vAlign w:val="center"/>
          </w:tcPr>
          <w:p w14:paraId="79AD90F9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2.34%</w:t>
            </w:r>
          </w:p>
        </w:tc>
        <w:tc>
          <w:tcPr>
            <w:tcW w:w="1828" w:type="dxa"/>
            <w:vAlign w:val="center"/>
          </w:tcPr>
          <w:p w14:paraId="129F9978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</w:tr>
      <w:tr w:rsidR="00031FDD" w14:paraId="3A6A373A" w14:textId="77777777">
        <w:trPr>
          <w:jc w:val="center"/>
        </w:trPr>
        <w:tc>
          <w:tcPr>
            <w:tcW w:w="1461" w:type="dxa"/>
            <w:vAlign w:val="center"/>
          </w:tcPr>
          <w:p w14:paraId="1F78A0EF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  <w:tc>
          <w:tcPr>
            <w:tcW w:w="1134" w:type="dxa"/>
            <w:vAlign w:val="center"/>
          </w:tcPr>
          <w:p w14:paraId="71C2BD53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134" w:type="dxa"/>
            <w:vAlign w:val="center"/>
          </w:tcPr>
          <w:p w14:paraId="56E60473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1.3756</w:t>
            </w:r>
          </w:p>
        </w:tc>
        <w:tc>
          <w:tcPr>
            <w:tcW w:w="1276" w:type="dxa"/>
            <w:vAlign w:val="center"/>
          </w:tcPr>
          <w:p w14:paraId="51458DD0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275" w:type="dxa"/>
            <w:vAlign w:val="center"/>
          </w:tcPr>
          <w:p w14:paraId="745E3CD3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1.1095</w:t>
            </w:r>
          </w:p>
        </w:tc>
        <w:tc>
          <w:tcPr>
            <w:tcW w:w="1418" w:type="dxa"/>
            <w:vAlign w:val="center"/>
          </w:tcPr>
          <w:p w14:paraId="5E5069CE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4DF7E71E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</w:tr>
      <w:tr w:rsidR="00031FDD" w14:paraId="65C2C56B" w14:textId="77777777">
        <w:trPr>
          <w:jc w:val="center"/>
        </w:trPr>
        <w:tc>
          <w:tcPr>
            <w:tcW w:w="1461" w:type="dxa"/>
            <w:vAlign w:val="center"/>
          </w:tcPr>
          <w:p w14:paraId="17D570EF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  <w:tc>
          <w:tcPr>
            <w:tcW w:w="1134" w:type="dxa"/>
            <w:vAlign w:val="center"/>
          </w:tcPr>
          <w:p w14:paraId="725A3186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134" w:type="dxa"/>
            <w:vAlign w:val="center"/>
          </w:tcPr>
          <w:p w14:paraId="092AE46F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1.3753</w:t>
            </w:r>
          </w:p>
        </w:tc>
        <w:tc>
          <w:tcPr>
            <w:tcW w:w="1276" w:type="dxa"/>
            <w:vAlign w:val="center"/>
          </w:tcPr>
          <w:p w14:paraId="4D8A2873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275" w:type="dxa"/>
            <w:vAlign w:val="center"/>
          </w:tcPr>
          <w:p w14:paraId="483EB179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418" w:type="dxa"/>
            <w:vAlign w:val="center"/>
          </w:tcPr>
          <w:p w14:paraId="282B45CD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1F2190F5" w14:textId="77777777" w:rsidR="00031FDD" w:rsidRDefault="003D6822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</w:tr>
    </w:tbl>
    <w:p w14:paraId="7C1C7F78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日包括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周六、周日）外的日期。</w:t>
      </w:r>
    </w:p>
    <w:p w14:paraId="6C532A7C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D91B5AE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参考年化收益率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=（本期份额累计净值-上期份额累计净值）/上期份额净值/本期天数*365。</w:t>
      </w:r>
    </w:p>
    <w:p w14:paraId="69F3BDEF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46CA5EFA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5CAA7EE6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13D334D8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89EFC8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proofErr w:type="gramStart"/>
      <w:r>
        <w:rPr>
          <w:rFonts w:ascii="方正仿宋简体" w:eastAsia="方正仿宋简体" w:hAnsi="仿宋_GB2312" w:cs="仿宋_GB2312" w:hint="eastAsia"/>
          <w:szCs w:val="21"/>
        </w:rPr>
        <w:t>南银理财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有限责任公司</w:t>
      </w:r>
    </w:p>
    <w:p w14:paraId="764B0B34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2025年08月07日</w:t>
      </w:r>
    </w:p>
    <w:p w14:paraId="37F9B843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A6A85" w14:textId="77777777" w:rsidR="003D6822" w:rsidRDefault="003D6822" w:rsidP="008018CA">
      <w:r>
        <w:separator/>
      </w:r>
    </w:p>
  </w:endnote>
  <w:endnote w:type="continuationSeparator" w:id="0">
    <w:p w14:paraId="17AAD350" w14:textId="77777777" w:rsidR="003D6822" w:rsidRDefault="003D6822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4DC8" w14:textId="77777777" w:rsidR="003D6822" w:rsidRDefault="003D6822" w:rsidP="008018CA">
      <w:r>
        <w:separator/>
      </w:r>
    </w:p>
  </w:footnote>
  <w:footnote w:type="continuationSeparator" w:id="0">
    <w:p w14:paraId="275181E1" w14:textId="77777777" w:rsidR="003D6822" w:rsidRDefault="003D6822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31FDD"/>
    <w:rsid w:val="000B54F8"/>
    <w:rsid w:val="00236B27"/>
    <w:rsid w:val="00243D50"/>
    <w:rsid w:val="003D6822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CE6C68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5EFB5"/>
  <w15:docId w15:val="{763B1A5C-CC98-4800-BAB9-D24B5147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2025-08-07T06:04:00Z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