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4741" w:rsidRDefault="00764741" w:rsidP="00CA3134">
      <w:pPr>
        <w:spacing w:before="240" w:afterLines="30" w:line="360" w:lineRule="auto"/>
        <w:jc w:val="center"/>
      </w:pPr>
    </w:p>
    <w:p w:rsidR="00764741" w:rsidRDefault="00764741" w:rsidP="00CA3134">
      <w:pPr>
        <w:spacing w:before="240" w:afterLines="30" w:line="360" w:lineRule="auto"/>
        <w:jc w:val="center"/>
      </w:pPr>
    </w:p>
    <w:p w:rsidR="00764741" w:rsidRDefault="00764741" w:rsidP="00CA3134">
      <w:pPr>
        <w:spacing w:before="240" w:afterLines="30" w:line="360" w:lineRule="auto"/>
        <w:jc w:val="center"/>
      </w:pPr>
    </w:p>
    <w:p w:rsidR="00764741" w:rsidRDefault="00C96A26" w:rsidP="00CA3134">
      <w:pPr>
        <w:spacing w:before="240" w:afterLines="30" w:line="360" w:lineRule="auto"/>
        <w:jc w:val="center"/>
        <w:rPr>
          <w:rFonts w:ascii="方正黑体简体" w:eastAsia="方正黑体简体"/>
          <w:sz w:val="36"/>
        </w:rPr>
      </w:pPr>
      <w:r>
        <w:rPr>
          <w:rFonts w:ascii="方正黑体简体" w:eastAsia="方正黑体简体"/>
          <w:sz w:val="36"/>
        </w:rPr>
        <w:t>南银理财珠联璧合理财管理计划5号开放式公募人民币理财产品</w:t>
      </w:r>
    </w:p>
    <w:p w:rsidR="00764741" w:rsidRDefault="00C96A26" w:rsidP="00CA3134">
      <w:pPr>
        <w:spacing w:before="240" w:afterLines="30" w:line="360" w:lineRule="auto"/>
        <w:jc w:val="center"/>
        <w:rPr>
          <w:rFonts w:ascii="方正黑体简体" w:eastAsia="方正黑体简体" w:hAnsi="黑体"/>
          <w:sz w:val="36"/>
        </w:rPr>
      </w:pPr>
      <w:r>
        <w:rPr>
          <w:rFonts w:ascii="方正黑体简体" w:eastAsia="方正黑体简体" w:hAnsi="黑体"/>
          <w:sz w:val="36"/>
        </w:rPr>
        <w:t>2025年半</w:t>
      </w:r>
      <w:r>
        <w:rPr>
          <w:rFonts w:ascii="方正黑体简体" w:eastAsia="方正黑体简体" w:hAnsi="Calibri" w:hint="eastAsia"/>
          <w:sz w:val="36"/>
        </w:rPr>
        <w:t>年度</w:t>
      </w:r>
      <w:r>
        <w:rPr>
          <w:rFonts w:ascii="方正黑体简体" w:eastAsia="方正黑体简体" w:hAnsi="黑体"/>
          <w:sz w:val="36"/>
        </w:rPr>
        <w:t>报告</w:t>
      </w:r>
    </w:p>
    <w:p w:rsidR="00764741" w:rsidRDefault="00764741" w:rsidP="00CA3134">
      <w:pPr>
        <w:spacing w:before="240" w:afterLines="30" w:line="360" w:lineRule="auto"/>
        <w:jc w:val="center"/>
        <w:rPr>
          <w:rFonts w:ascii="黑体" w:eastAsia="黑体" w:hAnsi="黑体"/>
          <w:sz w:val="36"/>
        </w:rPr>
      </w:pPr>
    </w:p>
    <w:p w:rsidR="00764741" w:rsidRDefault="00764741" w:rsidP="00CA3134">
      <w:pPr>
        <w:spacing w:before="240" w:afterLines="30" w:line="360" w:lineRule="auto"/>
        <w:jc w:val="center"/>
        <w:rPr>
          <w:rFonts w:ascii="黑体" w:eastAsia="黑体" w:hAnsi="黑体"/>
          <w:sz w:val="36"/>
        </w:rPr>
      </w:pPr>
    </w:p>
    <w:p w:rsidR="00764741" w:rsidRDefault="00764741" w:rsidP="00CA3134">
      <w:pPr>
        <w:spacing w:before="240" w:afterLines="30" w:line="360" w:lineRule="auto"/>
        <w:jc w:val="center"/>
        <w:rPr>
          <w:rFonts w:ascii="黑体" w:eastAsia="黑体" w:hAnsi="黑体"/>
          <w:sz w:val="36"/>
        </w:rPr>
      </w:pPr>
    </w:p>
    <w:p w:rsidR="00764741" w:rsidRDefault="00764741" w:rsidP="00CA3134">
      <w:pPr>
        <w:spacing w:before="240" w:afterLines="30" w:line="360" w:lineRule="auto"/>
        <w:jc w:val="center"/>
        <w:rPr>
          <w:rFonts w:ascii="黑体" w:eastAsia="黑体" w:hAnsi="黑体"/>
          <w:sz w:val="36"/>
        </w:rPr>
      </w:pPr>
    </w:p>
    <w:p w:rsidR="00764741" w:rsidRDefault="00764741" w:rsidP="00CA3134">
      <w:pPr>
        <w:spacing w:before="240" w:afterLines="30" w:line="360" w:lineRule="auto"/>
        <w:jc w:val="center"/>
        <w:rPr>
          <w:rFonts w:ascii="黑体" w:eastAsia="黑体" w:hAnsi="黑体"/>
          <w:sz w:val="36"/>
        </w:rPr>
      </w:pPr>
    </w:p>
    <w:p w:rsidR="00764741" w:rsidRDefault="00764741" w:rsidP="00CA3134">
      <w:pPr>
        <w:spacing w:before="240" w:afterLines="30" w:line="360" w:lineRule="auto"/>
        <w:jc w:val="center"/>
        <w:rPr>
          <w:rFonts w:ascii="黑体" w:eastAsia="黑体" w:hAnsi="黑体"/>
          <w:sz w:val="36"/>
        </w:rPr>
      </w:pPr>
    </w:p>
    <w:p w:rsidR="00764741" w:rsidRDefault="00C96A26" w:rsidP="00CA3134">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b/>
          <w:sz w:val="24"/>
          <w:szCs w:val="24"/>
        </w:rPr>
        <w:t>南银理财有限责任公司</w:t>
      </w:r>
    </w:p>
    <w:p w:rsidR="00764741" w:rsidRDefault="00C96A26" w:rsidP="00CA3134">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b/>
          <w:sz w:val="24"/>
          <w:szCs w:val="24"/>
        </w:rPr>
        <w:t>南京银行股份有限公司</w:t>
      </w:r>
    </w:p>
    <w:p w:rsidR="00764741" w:rsidRDefault="00C96A26">
      <w:pPr>
        <w:widowControl/>
        <w:jc w:val="left"/>
        <w:rPr>
          <w:rFonts w:ascii="方正仿宋简体" w:eastAsia="方正仿宋简体"/>
        </w:rPr>
      </w:pPr>
      <w:r>
        <w:rPr>
          <w:rFonts w:ascii="方正仿宋简体" w:eastAsia="方正仿宋简体"/>
        </w:rPr>
        <w:br w:type="page"/>
      </w:r>
    </w:p>
    <w:p w:rsidR="00764741" w:rsidRDefault="00C96A26" w:rsidP="00CA3134">
      <w:pPr>
        <w:spacing w:before="240" w:afterLines="30" w:line="360" w:lineRule="auto"/>
        <w:jc w:val="center"/>
        <w:rPr>
          <w:rFonts w:ascii="方正仿宋简体" w:eastAsia="方正仿宋简体"/>
        </w:rPr>
      </w:pPr>
      <w:r>
        <w:rPr>
          <w:rFonts w:ascii="方正仿宋简体" w:eastAsia="方正仿宋简体" w:hAnsi="Calibri" w:hint="eastAsia"/>
          <w:b/>
          <w:sz w:val="24"/>
          <w:szCs w:val="24"/>
        </w:rPr>
        <w:lastRenderedPageBreak/>
        <w:t>§1 产品概况</w:t>
      </w:r>
    </w:p>
    <w:tbl>
      <w:tblPr>
        <w:tblW w:w="8902"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2724"/>
        <w:gridCol w:w="6178"/>
      </w:tblGrid>
      <w:tr w:rsidR="00764741">
        <w:tc>
          <w:tcPr>
            <w:tcW w:w="2724" w:type="dxa"/>
            <w:vAlign w:val="center"/>
          </w:tcPr>
          <w:p w:rsidR="00764741" w:rsidRDefault="00C96A26" w:rsidP="00CA3134">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764741" w:rsidRDefault="00C96A26" w:rsidP="00CA3134">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南银理财珠联璧合理财管理计划5号开放式公募人民币理财产品</w:t>
            </w:r>
          </w:p>
        </w:tc>
      </w:tr>
      <w:tr w:rsidR="00764741">
        <w:tc>
          <w:tcPr>
            <w:tcW w:w="2724" w:type="dxa"/>
            <w:vAlign w:val="center"/>
          </w:tcPr>
          <w:p w:rsidR="00764741" w:rsidRDefault="00C96A26" w:rsidP="00CA3134">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764741" w:rsidRDefault="00C96A26" w:rsidP="00CA3134">
            <w:pPr>
              <w:spacing w:beforeLines="20" w:afterLines="20"/>
              <w:jc w:val="left"/>
              <w:rPr>
                <w:rFonts w:ascii="方正仿宋简体" w:eastAsia="方正仿宋简体"/>
                <w:sz w:val="24"/>
                <w:szCs w:val="24"/>
              </w:rPr>
            </w:pPr>
            <w:r>
              <w:rPr>
                <w:rFonts w:ascii="方正仿宋简体" w:eastAsia="方正仿宋简体" w:hint="eastAsia"/>
                <w:sz w:val="24"/>
                <w:szCs w:val="24"/>
              </w:rPr>
              <w:t>Z7003220000018（投资者可依据该编码在中国理财网www.chinawealth.com.cn查询理财产品相关信息）</w:t>
            </w:r>
          </w:p>
        </w:tc>
      </w:tr>
      <w:tr w:rsidR="00764741">
        <w:tc>
          <w:tcPr>
            <w:tcW w:w="2724" w:type="dxa"/>
            <w:vAlign w:val="center"/>
          </w:tcPr>
          <w:p w:rsidR="00764741" w:rsidRDefault="00C96A26" w:rsidP="00CA3134">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764741" w:rsidRDefault="00C96A26" w:rsidP="00CA3134">
            <w:pPr>
              <w:spacing w:beforeLines="20" w:afterLines="20"/>
              <w:jc w:val="left"/>
              <w:rPr>
                <w:rFonts w:ascii="方正仿宋简体" w:eastAsia="方正仿宋简体"/>
                <w:sz w:val="24"/>
                <w:szCs w:val="24"/>
              </w:rPr>
            </w:pPr>
            <w:r>
              <w:rPr>
                <w:rFonts w:ascii="方正仿宋简体" w:eastAsia="方正仿宋简体" w:hint="eastAsia"/>
                <w:sz w:val="24"/>
                <w:szCs w:val="24"/>
              </w:rPr>
              <w:t>开放式净值型</w:t>
            </w:r>
          </w:p>
        </w:tc>
      </w:tr>
      <w:tr w:rsidR="00764741">
        <w:tc>
          <w:tcPr>
            <w:tcW w:w="2724" w:type="dxa"/>
            <w:vAlign w:val="center"/>
          </w:tcPr>
          <w:p w:rsidR="00764741" w:rsidRDefault="00C96A26" w:rsidP="00CA3134">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764741" w:rsidRDefault="00C96A26" w:rsidP="00CA3134">
            <w:pPr>
              <w:spacing w:beforeLines="20" w:afterLines="20"/>
              <w:jc w:val="left"/>
              <w:rPr>
                <w:rFonts w:ascii="方正仿宋简体" w:eastAsia="方正仿宋简体"/>
                <w:sz w:val="24"/>
                <w:szCs w:val="24"/>
              </w:rPr>
            </w:pPr>
            <w:r>
              <w:rPr>
                <w:rFonts w:ascii="方正仿宋简体" w:eastAsia="方正仿宋简体" w:hint="eastAsia"/>
                <w:sz w:val="24"/>
                <w:szCs w:val="24"/>
              </w:rPr>
              <w:t>2020年10月23日</w:t>
            </w:r>
          </w:p>
        </w:tc>
      </w:tr>
      <w:tr w:rsidR="00764741">
        <w:tc>
          <w:tcPr>
            <w:tcW w:w="2724" w:type="dxa"/>
            <w:vAlign w:val="center"/>
          </w:tcPr>
          <w:p w:rsidR="00764741" w:rsidRDefault="00C96A26" w:rsidP="00CA3134">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764741" w:rsidRDefault="00C96A26" w:rsidP="00CA3134">
            <w:pPr>
              <w:spacing w:beforeLines="20" w:afterLines="20"/>
              <w:jc w:val="left"/>
              <w:rPr>
                <w:rFonts w:ascii="方正仿宋简体" w:eastAsia="方正仿宋简体"/>
                <w:sz w:val="24"/>
                <w:szCs w:val="24"/>
              </w:rPr>
            </w:pPr>
            <w:r>
              <w:rPr>
                <w:rFonts w:ascii="方正仿宋简体" w:eastAsia="方正仿宋简体" w:hint="eastAsia"/>
                <w:sz w:val="24"/>
                <w:szCs w:val="24"/>
              </w:rPr>
              <w:t>4,885,244,047.43份</w:t>
            </w:r>
          </w:p>
        </w:tc>
      </w:tr>
      <w:tr w:rsidR="00764741">
        <w:tc>
          <w:tcPr>
            <w:tcW w:w="2724" w:type="dxa"/>
            <w:vAlign w:val="center"/>
          </w:tcPr>
          <w:p w:rsidR="00764741" w:rsidRDefault="00C96A26" w:rsidP="00CA3134">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报告期末产品杠杆水平</w:t>
            </w:r>
          </w:p>
        </w:tc>
        <w:tc>
          <w:tcPr>
            <w:tcW w:w="6178" w:type="dxa"/>
            <w:vAlign w:val="center"/>
          </w:tcPr>
          <w:p w:rsidR="00764741" w:rsidRDefault="00C96A26" w:rsidP="00CA3134">
            <w:pPr>
              <w:spacing w:beforeLines="20" w:afterLines="20"/>
              <w:jc w:val="left"/>
              <w:rPr>
                <w:rFonts w:ascii="方正仿宋简体" w:eastAsia="方正仿宋简体"/>
                <w:sz w:val="24"/>
                <w:szCs w:val="24"/>
              </w:rPr>
            </w:pPr>
            <w:r>
              <w:rPr>
                <w:rFonts w:ascii="方正仿宋简体" w:eastAsia="方正仿宋简体"/>
                <w:sz w:val="24"/>
                <w:szCs w:val="24"/>
              </w:rPr>
              <w:t>107.51%</w:t>
            </w:r>
          </w:p>
        </w:tc>
      </w:tr>
      <w:tr w:rsidR="00764741">
        <w:tc>
          <w:tcPr>
            <w:tcW w:w="2724" w:type="dxa"/>
            <w:vAlign w:val="center"/>
          </w:tcPr>
          <w:p w:rsidR="00764741" w:rsidRDefault="00C96A26" w:rsidP="00CA3134">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764741" w:rsidRDefault="00C96A26" w:rsidP="00CA3134">
            <w:pPr>
              <w:spacing w:beforeLines="20" w:afterLines="20"/>
              <w:jc w:val="left"/>
              <w:rPr>
                <w:rFonts w:ascii="方正仿宋简体" w:eastAsia="方正仿宋简体"/>
                <w:sz w:val="24"/>
                <w:szCs w:val="24"/>
              </w:rPr>
            </w:pPr>
            <w:r>
              <w:rPr>
                <w:rFonts w:ascii="方正仿宋简体" w:eastAsia="方正仿宋简体" w:hint="eastAsia"/>
                <w:sz w:val="24"/>
                <w:szCs w:val="24"/>
              </w:rPr>
              <w:t>万家基金管理有限公司,中粮信托有限责任公司,中诚信托有限责任公司,中银基金管理有限公司,兴业基金管理有限公司,南京证券股份有限公司,天弘基金管理有限公司,平安基金管理有限公司,广发基金管理有限公司,招商基金管理有限公司,永赢基金管理有限公司,鑫元基金管理有限公司,鑫沅资产管理有限公司,鹏华基金管理有限公司,易方达基金管理有限公司,南方基金管理股份有限公司,景顺长城基金管理有限公司,交银施罗德基金管理有限公司,上海东方证券资产管理有限公司</w:t>
            </w:r>
          </w:p>
        </w:tc>
      </w:tr>
      <w:tr w:rsidR="00764741">
        <w:tc>
          <w:tcPr>
            <w:tcW w:w="2724" w:type="dxa"/>
            <w:vAlign w:val="center"/>
          </w:tcPr>
          <w:p w:rsidR="00764741" w:rsidRDefault="00C96A26" w:rsidP="00CA3134">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764741" w:rsidRDefault="00C96A26" w:rsidP="00CA3134">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764741">
        <w:tc>
          <w:tcPr>
            <w:tcW w:w="2724" w:type="dxa"/>
            <w:vAlign w:val="center"/>
          </w:tcPr>
          <w:p w:rsidR="00764741" w:rsidRDefault="00C96A26" w:rsidP="00CA3134">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764741" w:rsidRDefault="00C96A26" w:rsidP="00CA3134">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764741" w:rsidRDefault="00764741" w:rsidP="00CA3134">
      <w:pPr>
        <w:spacing w:before="240" w:afterLines="30" w:line="360" w:lineRule="auto"/>
        <w:rPr>
          <w:rFonts w:ascii="方正仿宋简体" w:eastAsia="方正仿宋简体" w:hAnsi="宋体" w:cs="宋体"/>
          <w:kern w:val="0"/>
          <w:sz w:val="24"/>
          <w:szCs w:val="24"/>
        </w:rPr>
      </w:pPr>
    </w:p>
    <w:p w:rsidR="00764741" w:rsidRDefault="00C96A26" w:rsidP="00CA3134">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§2  主要财务指标和产品</w:t>
      </w:r>
      <w:r>
        <w:rPr>
          <w:rFonts w:ascii="方正仿宋简体" w:eastAsia="方正仿宋简体" w:hint="eastAsia"/>
          <w:b/>
          <w:sz w:val="24"/>
          <w:szCs w:val="24"/>
        </w:rPr>
        <w:t>业绩比较基准</w:t>
      </w:r>
    </w:p>
    <w:p w:rsidR="00764741" w:rsidRDefault="00C96A26" w:rsidP="00CA3134">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2.1 主要财务指标</w:t>
      </w:r>
    </w:p>
    <w:p w:rsidR="00764741" w:rsidRDefault="00C96A26" w:rsidP="00CA3134">
      <w:pPr>
        <w:spacing w:before="240" w:afterLines="30" w:line="360" w:lineRule="auto"/>
        <w:jc w:val="right"/>
        <w:rPr>
          <w:rFonts w:ascii="方正仿宋简体" w:eastAsia="方正仿宋简体" w:cs="宋体"/>
          <w:kern w:val="0"/>
          <w:sz w:val="24"/>
          <w:szCs w:val="24"/>
        </w:rPr>
      </w:pPr>
      <w:r>
        <w:rPr>
          <w:rFonts w:ascii="方正仿宋简体" w:eastAsia="方正仿宋简体" w:cs="宋体" w:hint="eastAsia"/>
          <w:kern w:val="0"/>
          <w:sz w:val="24"/>
          <w:szCs w:val="24"/>
        </w:rPr>
        <w:t>单位：人民币元</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1353"/>
        <w:gridCol w:w="2298"/>
        <w:gridCol w:w="1759"/>
        <w:gridCol w:w="2029"/>
        <w:gridCol w:w="1463"/>
      </w:tblGrid>
      <w:tr w:rsidR="00764741">
        <w:trPr>
          <w:trHeight w:val="611"/>
          <w:jc w:val="center"/>
        </w:trPr>
        <w:tc>
          <w:tcPr>
            <w:tcW w:w="1353" w:type="dxa"/>
            <w:vMerge w:val="restart"/>
            <w:vAlign w:val="center"/>
          </w:tcPr>
          <w:p w:rsidR="00764741" w:rsidRDefault="00C96A26" w:rsidP="00CA3134">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内部销售代码</w:t>
            </w:r>
          </w:p>
        </w:tc>
        <w:tc>
          <w:tcPr>
            <w:tcW w:w="7549" w:type="dxa"/>
            <w:gridSpan w:val="4"/>
            <w:vAlign w:val="center"/>
          </w:tcPr>
          <w:p w:rsidR="00764741" w:rsidRDefault="00C96A26" w:rsidP="00CA3134">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报告期（2025年01月01日 - 2025年06月30日）</w:t>
            </w:r>
          </w:p>
        </w:tc>
      </w:tr>
      <w:tr w:rsidR="00764741">
        <w:trPr>
          <w:jc w:val="center"/>
        </w:trPr>
        <w:tc>
          <w:tcPr>
            <w:tcW w:w="1353" w:type="dxa"/>
            <w:vMerge/>
            <w:vAlign w:val="center"/>
          </w:tcPr>
          <w:p w:rsidR="00764741" w:rsidRDefault="00764741" w:rsidP="00CA3134">
            <w:pPr>
              <w:spacing w:beforeLines="20" w:afterLines="20"/>
              <w:jc w:val="center"/>
              <w:rPr>
                <w:rFonts w:ascii="方正仿宋简体" w:eastAsia="方正仿宋简体"/>
                <w:sz w:val="24"/>
                <w:szCs w:val="24"/>
                <w:shd w:val="clear" w:color="auto" w:fill="FFFFFF"/>
              </w:rPr>
            </w:pPr>
          </w:p>
        </w:tc>
        <w:tc>
          <w:tcPr>
            <w:tcW w:w="2298" w:type="dxa"/>
            <w:vAlign w:val="center"/>
          </w:tcPr>
          <w:p w:rsidR="00764741" w:rsidRDefault="00C96A26" w:rsidP="00CA3134">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1.期末产品最后一个市场交易日资产净值</w:t>
            </w:r>
          </w:p>
        </w:tc>
        <w:tc>
          <w:tcPr>
            <w:tcW w:w="1759" w:type="dxa"/>
            <w:vAlign w:val="center"/>
          </w:tcPr>
          <w:p w:rsidR="00764741" w:rsidRDefault="00C96A26" w:rsidP="00CA3134">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2.期末产品最后一个市场交易日份额净值</w:t>
            </w:r>
          </w:p>
        </w:tc>
        <w:tc>
          <w:tcPr>
            <w:tcW w:w="2029" w:type="dxa"/>
            <w:vAlign w:val="center"/>
          </w:tcPr>
          <w:p w:rsidR="00764741" w:rsidRDefault="00C96A26" w:rsidP="00CA3134">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3.期末产品最后一个市场交易日份额累计净值</w:t>
            </w:r>
          </w:p>
        </w:tc>
        <w:tc>
          <w:tcPr>
            <w:tcW w:w="1463" w:type="dxa"/>
            <w:vAlign w:val="center"/>
          </w:tcPr>
          <w:p w:rsidR="00764741" w:rsidRDefault="00C96A26" w:rsidP="00CA3134">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4.其它费用</w:t>
            </w:r>
          </w:p>
        </w:tc>
      </w:tr>
      <w:tr>
        <w:trPr>
          <w:jc w:val="center"/>
        </w:trPr>
        <w:tc>
          <w:tcPr>
            <w:tcW w:w="1353"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Z11009</w:t>
            </w:r>
          </w:p>
        </w:tc>
        <w:tc>
          <w:tcPr>
            <w:tcW w:w="229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4,176,233,010.28</w:t>
            </w:r>
          </w:p>
        </w:tc>
        <w:tc>
          <w:tcPr>
            <w:tcW w:w="1759"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1.1868</w:t>
            </w:r>
          </w:p>
        </w:tc>
        <w:tc>
          <w:tcPr>
            <w:tcW w:w="2029"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1.1868</w:t>
            </w:r>
          </w:p>
        </w:tc>
        <w:tc>
          <w:tcPr>
            <w:tcW w:w="1463" w:type="dxa"/>
            <w:vMerge w:val="restart"/>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283,886.49</w:t>
            </w:r>
          </w:p>
        </w:tc>
      </w:tr>
      <w:tr>
        <w:trPr>
          <w:jc w:val="center"/>
        </w:trPr>
        <w:tc>
          <w:tcPr>
            <w:tcW w:w="1353"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Z11010</w:t>
            </w:r>
          </w:p>
        </w:tc>
        <w:tc>
          <w:tcPr>
            <w:tcW w:w="229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1,627,806,382.74</w:t>
            </w:r>
          </w:p>
        </w:tc>
        <w:tc>
          <w:tcPr>
            <w:tcW w:w="1759"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1.1913</w:t>
            </w:r>
          </w:p>
        </w:tc>
        <w:tc>
          <w:tcPr>
            <w:tcW w:w="2029"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1.1913</w:t>
            </w:r>
          </w:p>
        </w:tc>
        <w:tc>
          <w:tcPr>
            <w:tcW w:w="1463"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bl>
    <w:p w:rsidR="00764741" w:rsidRDefault="00C96A26" w:rsidP="00CA3134">
      <w:pPr>
        <w:spacing w:before="240" w:afterLines="30" w:line="360" w:lineRule="auto"/>
        <w:rPr>
          <w:rFonts w:ascii="方正仿宋简体" w:eastAsia="方正仿宋简体"/>
          <w:sz w:val="24"/>
          <w:szCs w:val="24"/>
        </w:rPr>
      </w:pPr>
      <w:r>
        <w:rPr>
          <w:rFonts w:ascii="方正仿宋简体" w:eastAsia="方正仿宋简体" w:hint="eastAsia"/>
          <w:sz w:val="24"/>
          <w:szCs w:val="24"/>
        </w:rPr>
        <w:t>注：产品净值可能存在未扣除管理人及投资合作机构业绩报酬、赎回费等费用（如有）</w:t>
      </w:r>
      <w:r>
        <w:rPr>
          <w:rFonts w:ascii="方正仿宋简体" w:eastAsia="方正仿宋简体" w:hint="eastAsia"/>
          <w:sz w:val="24"/>
          <w:szCs w:val="24"/>
        </w:rPr>
        <w:lastRenderedPageBreak/>
        <w:t>的情况，实际收益以兑付为准。</w:t>
      </w:r>
    </w:p>
    <w:p w:rsidR="00764741" w:rsidRDefault="00764741" w:rsidP="00CA3134">
      <w:pPr>
        <w:spacing w:before="240" w:afterLines="30" w:line="360" w:lineRule="auto"/>
        <w:rPr>
          <w:rFonts w:ascii="方正仿宋简体" w:eastAsia="方正仿宋简体" w:hAnsi="宋体" w:cs="宋体"/>
          <w:kern w:val="0"/>
          <w:sz w:val="24"/>
          <w:szCs w:val="24"/>
        </w:rPr>
      </w:pPr>
    </w:p>
    <w:p w:rsidR="00764741" w:rsidRDefault="00C96A26" w:rsidP="00CA3134">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2.2 产品业绩比较基准</w:t>
      </w:r>
    </w:p>
    <w:p w:rsidR="00764741" w:rsidRDefault="00C96A26" w:rsidP="00CA3134">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2.2.1 本报告期产品业绩比较基准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4528"/>
        <w:gridCol w:w="2130"/>
        <w:gridCol w:w="2244"/>
      </w:tblGrid>
      <w:tr w:rsidR="00764741">
        <w:trPr>
          <w:jc w:val="center"/>
        </w:trPr>
        <w:tc>
          <w:tcPr>
            <w:tcW w:w="4528" w:type="dxa"/>
            <w:vAlign w:val="center"/>
          </w:tcPr>
          <w:p w:rsidR="00764741" w:rsidRDefault="00C96A26" w:rsidP="00CA3134">
            <w:pPr>
              <w:spacing w:beforeLines="20" w:afterLines="20"/>
              <w:jc w:val="center"/>
              <w:rPr>
                <w:rFonts w:ascii="方正仿宋简体" w:eastAsia="方正仿宋简体"/>
                <w:sz w:val="24"/>
                <w:szCs w:val="24"/>
              </w:rPr>
            </w:pPr>
            <w:r>
              <w:rPr>
                <w:rFonts w:ascii="方正仿宋简体" w:eastAsia="方正仿宋简体" w:hint="eastAsia"/>
                <w:sz w:val="24"/>
                <w:szCs w:val="24"/>
              </w:rPr>
              <w:t>阶段</w:t>
            </w:r>
          </w:p>
        </w:tc>
        <w:tc>
          <w:tcPr>
            <w:tcW w:w="2130" w:type="dxa"/>
            <w:vAlign w:val="center"/>
          </w:tcPr>
          <w:p w:rsidR="00764741" w:rsidRDefault="00C96A26" w:rsidP="00CA3134">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2244" w:type="dxa"/>
            <w:vAlign w:val="center"/>
          </w:tcPr>
          <w:p w:rsidR="00764741" w:rsidRDefault="00C96A26" w:rsidP="00CA3134">
            <w:pPr>
              <w:spacing w:beforeLines="20" w:afterLines="20"/>
              <w:jc w:val="center"/>
              <w:rPr>
                <w:rFonts w:ascii="方正仿宋简体" w:eastAsia="方正仿宋简体"/>
                <w:sz w:val="24"/>
                <w:szCs w:val="24"/>
              </w:rPr>
            </w:pPr>
            <w:r>
              <w:rPr>
                <w:rFonts w:ascii="方正仿宋简体" w:eastAsia="方正仿宋简体" w:hint="eastAsia"/>
                <w:sz w:val="24"/>
                <w:szCs w:val="24"/>
              </w:rPr>
              <w:t>业绩比较基准</w:t>
            </w:r>
          </w:p>
        </w:tc>
      </w:tr>
      <w:tr>
        <w:trPr>
          <w:jc w:val="center"/>
        </w:trPr>
        <w:tc>
          <w:tcPr>
            <w:tcW w:w="4528" w:type="dxa"/>
            <w:vAlign w:val="center"/>
            <w:vAlign w:val="center"/>
          </w:tcPr>
          <w:p>
            <w:pPr>
              <w:spacing w:beforeLines="20"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2025年01月01日 - 2025年06月30日</w:t>
            </w:r>
          </w:p>
        </w:tc>
        <w:tc>
          <w:tcPr>
            <w:tcW w:w="2130" w:type="dxa"/>
            <w:vAlign w:val="center"/>
            <w:vAlign w:val="center"/>
          </w:tcPr>
          <w:p>
            <w:pPr>
              <w:spacing w:beforeLines="20"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Z11009</w:t>
            </w:r>
          </w:p>
        </w:tc>
        <w:tc>
          <w:tcPr>
            <w:tcW w:w="2244" w:type="dxa"/>
            <w:vAlign w:val="center"/>
            <w:vAlign w:val="center"/>
          </w:tcPr>
          <w:p>
            <w:pPr>
              <w:spacing w:beforeLines="20"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-0.27%</w:t>
            </w:r>
          </w:p>
        </w:tc>
      </w:tr>
      <w:tr>
        <w:trPr>
          <w:jc w:val="center"/>
        </w:trPr>
        <w:tc>
          <w:tcPr>
            <w:tcW w:w="4528" w:type="dxa"/>
            <w:vAlign w:val="center"/>
            <w:vAlign w:val="center"/>
          </w:tcPr>
          <w:p>
            <w:pPr>
              <w:spacing w:beforeLines="20"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2025年01月01日 - 2025年06月30日</w:t>
            </w:r>
          </w:p>
        </w:tc>
        <w:tc>
          <w:tcPr>
            <w:tcW w:w="2130" w:type="dxa"/>
            <w:vAlign w:val="center"/>
            <w:vAlign w:val="center"/>
          </w:tcPr>
          <w:p>
            <w:pPr>
              <w:spacing w:beforeLines="20"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Z11010</w:t>
            </w:r>
          </w:p>
        </w:tc>
        <w:tc>
          <w:tcPr>
            <w:tcW w:w="2244" w:type="dxa"/>
            <w:vAlign w:val="center"/>
            <w:vAlign w:val="center"/>
          </w:tcPr>
          <w:p>
            <w:pPr>
              <w:spacing w:beforeLines="20"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-0.27%</w:t>
            </w:r>
          </w:p>
        </w:tc>
      </w:tr>
    </w:tbl>
    <w:p w:rsidR="00764741" w:rsidRDefault="00764741" w:rsidP="00CA3134">
      <w:pPr>
        <w:spacing w:before="240" w:afterLines="30" w:line="360" w:lineRule="auto"/>
        <w:rPr>
          <w:rFonts w:ascii="方正仿宋简体" w:eastAsia="方正仿宋简体" w:hAnsi="宋体" w:cs="宋体"/>
          <w:kern w:val="0"/>
          <w:sz w:val="24"/>
          <w:szCs w:val="24"/>
        </w:rPr>
      </w:pPr>
    </w:p>
    <w:p w:rsidR="00764741" w:rsidRDefault="00C96A26" w:rsidP="00CA3134">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§3  管理人报告</w:t>
      </w:r>
    </w:p>
    <w:p w:rsidR="00764741" w:rsidRDefault="00C96A26" w:rsidP="00CA3134">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3.1 报告期内产品的投资策略和运作分析</w:t>
      </w:r>
    </w:p>
    <w:p w:rsidR="00764741" w:rsidRDefault="00C96A26" w:rsidP="00CA3134">
      <w:pPr>
        <w:spacing w:before="240" w:afterLines="30" w:line="360" w:lineRule="auto"/>
        <w:rPr>
          <w:rFonts w:ascii="方正仿宋简体" w:eastAsia="方正仿宋简体"/>
          <w:sz w:val="24"/>
          <w:szCs w:val="24"/>
        </w:rPr>
      </w:pPr>
      <w:r>
        <w:rPr>
          <w:rFonts w:ascii="方正仿宋简体" w:eastAsia="方正仿宋简体" w:hint="eastAsia"/>
          <w:sz w:val="24"/>
          <w:szCs w:val="24"/>
        </w:rPr>
        <w:t>  二季度，美国超预期宣布“对等关税”，全球供需格局和金融市场都随该事件演变大幅波动。国内地产投资拖累延续，制造业投资高位回落，受政策补贴相关消费领域表现较好，出口受抢出口带动保持一定韧性。“对等关税”落地后，央行发布一揽子金融政策，包括降准降息，设立再贷款工具等，资金中枢整体下移。</w:t>
        <w:br w:type="textWrapping" w:clear="all"/>
      </w:r>
      <w:r>
        <w:rPr>
          <w:rFonts w:ascii="方正仿宋简体" w:eastAsia="方正仿宋简体" w:hint="eastAsia"/>
          <w:sz w:val="24"/>
          <w:szCs w:val="24"/>
        </w:rPr>
        <w:t>  市场方面，债券收益率在美宣布“对等关税”后快速下行，之后受关税谈判、政府债供给、银行负债端压力等因素影响窄幅震荡，但在资金面呵护下，波动幅度不大。至半年末，收益率基本回到年初位置附近。与之相反，权益市场在关税宣布初期大幅调整，之后逐步消化，走出深V走势，主要宽基指数均修复至关税冲击前，其中银行板块表现强势，创历史新高。</w:t>
        <w:br w:type="textWrapping" w:clear="all"/>
      </w:r>
      <w:r>
        <w:rPr>
          <w:rFonts w:ascii="方正仿宋简体" w:eastAsia="方正仿宋简体" w:hint="eastAsia"/>
          <w:sz w:val="24"/>
          <w:szCs w:val="24"/>
        </w:rPr>
        <w:t>  展望后市，三季度出口下行压力预计逐步加大，经济动能有所回落，基本面和货币政策对债市偏友好，但收益率明显突破下行亦需要有新的催化剂出现，操作上以中性久期应对，等待交易性机会出现。</w:t>
      </w:r>
      <w:r>
        <w:rPr>
          <w:rFonts w:ascii="方正仿宋简体" w:eastAsia="方正仿宋简体" w:hint="eastAsia"/>
          <w:sz w:val="24"/>
          <w:szCs w:val="24"/>
        </w:rPr>
        <w:t/>
      </w:r>
    </w:p>
    <w:p w:rsidR="00764741" w:rsidRDefault="00C96A26" w:rsidP="00CA3134">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3.2 报告期内产品的流动性风险分析</w:t>
      </w:r>
    </w:p>
    <w:p w:rsidR="00764741" w:rsidRDefault="00C96A26" w:rsidP="00CA3134">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  本产品主要投向具有良好流动性的金融工具（包括但不限于国内依法发行的债券和证券投资基金等），并对标的进行分散化投资，防范流动性风险。</w:t>
      </w:r>
    </w:p>
    <w:p w:rsidR="00764741" w:rsidRDefault="00C96A26" w:rsidP="00CA3134">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3.3 报告期内产品的业绩表现</w:t>
      </w:r>
    </w:p>
    <w:p w:rsidR="00764741" w:rsidRDefault="00C96A26" w:rsidP="00CA3134">
      <w:pPr>
        <w:spacing w:before="240" w:afterLines="30"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截至报告期末，本产品Z11009份额净值为1.1868元，Z11010份额净值为1.1913元。</w:t>
      </w:r>
    </w:p>
    <w:p w:rsidR="00764741" w:rsidRDefault="00764741" w:rsidP="00CA3134">
      <w:pPr>
        <w:spacing w:before="240" w:afterLines="30" w:line="360" w:lineRule="auto"/>
        <w:rPr>
          <w:rFonts w:ascii="方正仿宋简体" w:eastAsia="方正仿宋简体" w:hAnsi="宋体" w:cs="宋体"/>
          <w:kern w:val="0"/>
          <w:sz w:val="24"/>
          <w:szCs w:val="24"/>
        </w:rPr>
      </w:pPr>
    </w:p>
    <w:p w:rsidR="00764741" w:rsidRDefault="00C96A26" w:rsidP="00CA3134">
      <w:pPr>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t>§4  托管人报告</w:t>
      </w:r>
    </w:p>
    <w:p w:rsidR="00764741" w:rsidRDefault="00C96A26" w:rsidP="00CA3134">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lastRenderedPageBreak/>
        <w:t>4.1报告期内托管人遵规守信情况声明</w:t>
      </w:r>
    </w:p>
    <w:p w:rsidR="00764741" w:rsidRDefault="00C96A26" w:rsidP="00CA3134">
      <w:pPr>
        <w:spacing w:before="240" w:afterLines="30" w:line="360" w:lineRule="auto"/>
        <w:rPr>
          <w:rFonts w:ascii="方正仿宋简体" w:eastAsia="方正仿宋简体"/>
          <w:sz w:val="24"/>
          <w:szCs w:val="24"/>
        </w:rPr>
      </w:pPr>
      <w:r>
        <w:rPr>
          <w:rFonts w:ascii="方正仿宋简体" w:eastAsia="方正仿宋简体" w:hint="eastAsia"/>
          <w:sz w:val="24"/>
          <w:szCs w:val="24"/>
        </w:rPr>
        <w:t>  在托管本产品的过程中，本产品托管人南京银行股份有限公司严格遵守《商业银行理财子公司管理办法》相关法律法规的规定以及产品说明书的约定，对本产品管理人在报告期内产品的投资运作进行了认真、独立的会计核算和必要的投资监督，认真履行了托管人的义务，没有从事任何损害产品份额持有人利益的行为。</w:t>
      </w:r>
    </w:p>
    <w:p w:rsidR="00764741" w:rsidRDefault="00C96A26" w:rsidP="00CA3134">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4.2 托管人对报告期内投资运作遵规守信、净值计算、利润分配等情况的说明</w:t>
      </w:r>
    </w:p>
    <w:p w:rsidR="00764741" w:rsidRDefault="00C96A26" w:rsidP="00CA3134">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托管人认为,管理人在本产品的投资运作、产品资产净值的计算、产品份额申购赎回价格的计算、产品费用开支及利润分配等问题上不存在损害产品份额持有人利益的行为；在报告期内，严格遵守了有关法律法规，在各重要方面的运作严格按照托管协议和理财产品说明书的规定进行。</w:t>
      </w:r>
    </w:p>
    <w:p w:rsidR="00764741" w:rsidRDefault="00C96A26" w:rsidP="00CA3134">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4.3 托管人对本</w:t>
      </w:r>
      <w:r w:rsidR="001F3B02">
        <w:rPr>
          <w:rFonts w:ascii="方正仿宋简体" w:eastAsia="方正仿宋简体" w:hint="eastAsia"/>
          <w:b/>
          <w:sz w:val="24"/>
          <w:szCs w:val="24"/>
        </w:rPr>
        <w:t>报告期内</w:t>
      </w:r>
      <w:r>
        <w:rPr>
          <w:rFonts w:ascii="方正仿宋简体" w:eastAsia="方正仿宋简体" w:hint="eastAsia"/>
          <w:b/>
          <w:sz w:val="24"/>
          <w:szCs w:val="24"/>
        </w:rPr>
        <w:t>报告中财务信息等内容的真实、准确和完整发表意见</w:t>
      </w:r>
    </w:p>
    <w:p w:rsidR="00764741" w:rsidRDefault="00C96A26" w:rsidP="00CA3134">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托管人认为，管理人的信息披露事务符合《商业银行理财子公司管理办法》及其他相关法律法规的规定，产品管理人所编制和披露的本产品报告中的财务指标、净值表现等信息真实、准确、完整，未发现有损害产品持有人利益的行为。</w:t>
      </w:r>
    </w:p>
    <w:p w:rsidR="00764741" w:rsidRDefault="00764741" w:rsidP="00CA3134">
      <w:pPr>
        <w:spacing w:before="240" w:afterLines="30" w:line="360" w:lineRule="auto"/>
        <w:rPr>
          <w:rFonts w:ascii="方正仿宋简体" w:eastAsia="方正仿宋简体"/>
          <w:sz w:val="24"/>
          <w:szCs w:val="24"/>
        </w:rPr>
      </w:pPr>
    </w:p>
    <w:p w:rsidR="00764741" w:rsidRDefault="00C96A26" w:rsidP="00CA3134">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§5  投资组合报告</w:t>
      </w:r>
    </w:p>
    <w:p w:rsidR="00764741" w:rsidRDefault="00C96A26" w:rsidP="00CA3134">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5.1 报告期末产品资产组合情况</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45"/>
        <w:gridCol w:w="1861"/>
        <w:gridCol w:w="3004"/>
        <w:gridCol w:w="3292"/>
      </w:tblGrid>
      <w:tr w:rsidR="00764741">
        <w:trPr>
          <w:jc w:val="center"/>
        </w:trPr>
        <w:tc>
          <w:tcPr>
            <w:tcW w:w="745" w:type="dxa"/>
            <w:vAlign w:val="bottom"/>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861" w:type="dxa"/>
            <w:vAlign w:val="bottom"/>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资产类别</w:t>
            </w:r>
          </w:p>
        </w:tc>
        <w:tc>
          <w:tcPr>
            <w:tcW w:w="3004" w:type="dxa"/>
            <w:vAlign w:val="center"/>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穿透前占总资产比例</w:t>
            </w:r>
          </w:p>
        </w:tc>
        <w:tc>
          <w:tcPr>
            <w:tcW w:w="3292" w:type="dxa"/>
            <w:vAlign w:val="center"/>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穿透后占总资产比例</w:t>
            </w:r>
          </w:p>
        </w:tc>
      </w:tr>
      <w:tr w:rsidR="00764741">
        <w:trPr>
          <w:jc w:val="center"/>
        </w:trPr>
        <w:tc>
          <w:tcPr>
            <w:tcW w:w="745" w:type="dxa"/>
            <w:vAlign w:val="bottom"/>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w:t>
            </w:r>
          </w:p>
        </w:tc>
        <w:tc>
          <w:tcPr>
            <w:tcW w:w="1861" w:type="dxa"/>
            <w:vAlign w:val="bottom"/>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固定收益类</w:t>
            </w:r>
          </w:p>
        </w:tc>
        <w:tc>
          <w:tcPr>
            <w:tcW w:w="3004" w:type="dxa"/>
            <w:vAlign w:val="center"/>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c>
          <w:tcPr>
            <w:tcW w:w="3292" w:type="dxa"/>
            <w:vAlign w:val="center"/>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r>
      <w:tr w:rsidR="00764741">
        <w:trPr>
          <w:jc w:val="center"/>
        </w:trPr>
        <w:tc>
          <w:tcPr>
            <w:tcW w:w="745" w:type="dxa"/>
            <w:vAlign w:val="bottom"/>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2</w:t>
            </w:r>
          </w:p>
        </w:tc>
        <w:tc>
          <w:tcPr>
            <w:tcW w:w="1861" w:type="dxa"/>
            <w:vAlign w:val="bottom"/>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权益类</w:t>
            </w:r>
          </w:p>
        </w:tc>
        <w:tc>
          <w:tcPr>
            <w:tcW w:w="3004" w:type="dxa"/>
            <w:vAlign w:val="center"/>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764741">
        <w:trPr>
          <w:jc w:val="center"/>
        </w:trPr>
        <w:tc>
          <w:tcPr>
            <w:tcW w:w="745" w:type="dxa"/>
            <w:vAlign w:val="bottom"/>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w:t>
            </w:r>
          </w:p>
        </w:tc>
        <w:tc>
          <w:tcPr>
            <w:tcW w:w="1861" w:type="dxa"/>
            <w:vAlign w:val="bottom"/>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商品及金融衍生品类</w:t>
            </w:r>
          </w:p>
        </w:tc>
        <w:tc>
          <w:tcPr>
            <w:tcW w:w="3004" w:type="dxa"/>
            <w:vAlign w:val="center"/>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764741">
        <w:trPr>
          <w:jc w:val="center"/>
        </w:trPr>
        <w:tc>
          <w:tcPr>
            <w:tcW w:w="745" w:type="dxa"/>
            <w:vAlign w:val="bottom"/>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4</w:t>
            </w:r>
          </w:p>
        </w:tc>
        <w:tc>
          <w:tcPr>
            <w:tcW w:w="1861" w:type="dxa"/>
            <w:vAlign w:val="bottom"/>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混合类</w:t>
            </w:r>
          </w:p>
        </w:tc>
        <w:tc>
          <w:tcPr>
            <w:tcW w:w="3004" w:type="dxa"/>
            <w:vAlign w:val="center"/>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764741">
        <w:trPr>
          <w:jc w:val="center"/>
        </w:trPr>
        <w:tc>
          <w:tcPr>
            <w:tcW w:w="745" w:type="dxa"/>
            <w:vAlign w:val="bottom"/>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w:t>
            </w:r>
          </w:p>
        </w:tc>
        <w:tc>
          <w:tcPr>
            <w:tcW w:w="1861" w:type="dxa"/>
            <w:vAlign w:val="center"/>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合计</w:t>
            </w:r>
          </w:p>
        </w:tc>
        <w:tc>
          <w:tcPr>
            <w:tcW w:w="3004" w:type="dxa"/>
            <w:vAlign w:val="center"/>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c>
          <w:tcPr>
            <w:tcW w:w="3292" w:type="dxa"/>
            <w:vAlign w:val="center"/>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r>
    </w:tbl>
    <w:p w:rsidR="00764741" w:rsidRDefault="00764741" w:rsidP="00CA3134">
      <w:pPr>
        <w:spacing w:before="240" w:afterLines="30" w:line="360" w:lineRule="auto"/>
        <w:rPr>
          <w:rFonts w:ascii="方正仿宋简体" w:eastAsia="方正仿宋简体" w:cs="宋体"/>
          <w:kern w:val="0"/>
          <w:sz w:val="24"/>
          <w:szCs w:val="24"/>
        </w:rPr>
      </w:pPr>
    </w:p>
    <w:p w:rsidR="00764741" w:rsidRDefault="00C96A26" w:rsidP="00CA3134">
      <w:pPr>
        <w:spacing w:before="240" w:afterLines="30" w:line="360" w:lineRule="auto"/>
        <w:rPr>
          <w:rFonts w:ascii="方正仿宋简体" w:eastAsia="方正仿宋简体"/>
          <w:b/>
          <w:sz w:val="24"/>
          <w:szCs w:val="24"/>
          <w:shd w:val="clear" w:color="auto" w:fill="FFFFFF"/>
        </w:rPr>
      </w:pPr>
      <w:r>
        <w:rPr>
          <w:rFonts w:ascii="方正仿宋简体" w:eastAsia="方正仿宋简体" w:hint="eastAsia"/>
          <w:b/>
          <w:sz w:val="24"/>
          <w:szCs w:val="24"/>
        </w:rPr>
        <w:t>5.2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4"/>
        <w:gridCol w:w="1633"/>
        <w:gridCol w:w="2721"/>
        <w:gridCol w:w="2059"/>
        <w:gridCol w:w="1785"/>
      </w:tblGrid>
      <w:tr w:rsidR="00764741">
        <w:trPr>
          <w:trHeight w:val="870"/>
          <w:jc w:val="center"/>
        </w:trPr>
        <w:tc>
          <w:tcPr>
            <w:tcW w:w="704" w:type="dxa"/>
            <w:vAlign w:val="center"/>
          </w:tcPr>
          <w:p w:rsidR="00764741" w:rsidRDefault="00C96A26" w:rsidP="00CA3134">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633" w:type="dxa"/>
            <w:vAlign w:val="center"/>
          </w:tcPr>
          <w:p w:rsidR="00764741" w:rsidRDefault="00C96A26" w:rsidP="00CA3134">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代码</w:t>
            </w:r>
          </w:p>
        </w:tc>
        <w:tc>
          <w:tcPr>
            <w:tcW w:w="2721" w:type="dxa"/>
            <w:vAlign w:val="center"/>
          </w:tcPr>
          <w:p w:rsidR="00764741" w:rsidRDefault="00C96A26" w:rsidP="00CA3134">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名称</w:t>
            </w:r>
          </w:p>
        </w:tc>
        <w:tc>
          <w:tcPr>
            <w:tcW w:w="2059" w:type="dxa"/>
            <w:vAlign w:val="center"/>
          </w:tcPr>
          <w:p w:rsidR="00764741" w:rsidRDefault="00C96A26" w:rsidP="00CA3134">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公允价值（元）</w:t>
            </w:r>
          </w:p>
        </w:tc>
        <w:tc>
          <w:tcPr>
            <w:tcW w:w="1785" w:type="dxa"/>
            <w:vAlign w:val="center"/>
          </w:tcPr>
          <w:p w:rsidR="00764741" w:rsidRDefault="00C96A26" w:rsidP="00CA3134">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占产品资产净值比例（％）</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250301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25进出01</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199,766,000.00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3.44</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ZJQTT202112280001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景顺长城南景悦享1号集合资产管理计划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181,897,667.24</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3.13</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ZJQTT202407120001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中粮信托·丰收1号集合资金信托计划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156,792,054.44</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2.70</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2128051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21工商银行二级02</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122,934,480.00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2.12</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ZJQTT202103220021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南方基金恒远尊享1号集合资产管理计划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121,613,865.01</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2.10</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6</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ZJQTT202210190001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招商基金-安鑫2号集合资产管理计划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104,826,564.32</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1.81</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7</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114681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20DFCX01</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102,342,500.00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1.76</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8</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032480409</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24沪地产PPN001(保障性住房平急两用)</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101,108,000.00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1.74</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9</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102382877</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23中铝国工MTN001</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100,724,200.00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1.74</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250009</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25附息国债09</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99,615,600.00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1.72</w:t>
            </w:r>
          </w:p>
        </w:tc>
      </w:tr>
    </w:tbl>
    <w:p w:rsidR="00764741" w:rsidRDefault="00764741" w:rsidP="00CA3134">
      <w:pPr>
        <w:spacing w:before="240" w:afterLines="30" w:line="360" w:lineRule="auto"/>
        <w:rPr>
          <w:rFonts w:ascii="方正仿宋简体" w:eastAsia="方正仿宋简体" w:hAnsi="宋体" w:cs="宋体"/>
          <w:sz w:val="24"/>
          <w:szCs w:val="24"/>
          <w:shd w:val="clear" w:color="auto" w:fill="FFFFFF"/>
        </w:rPr>
      </w:pPr>
    </w:p>
    <w:p w:rsidR="00764741" w:rsidRDefault="00C96A26" w:rsidP="00CA3134">
      <w:pPr>
        <w:spacing w:before="240" w:afterLines="30" w:line="360" w:lineRule="auto"/>
        <w:rPr>
          <w:rFonts w:ascii="方正仿宋简体" w:eastAsia="方正仿宋简体" w:hAnsi="宋体" w:cs="宋体"/>
          <w:b/>
          <w:sz w:val="24"/>
          <w:szCs w:val="24"/>
          <w:shd w:val="clear" w:color="auto" w:fill="FFFFFF"/>
        </w:rPr>
      </w:pPr>
      <w:r>
        <w:rPr>
          <w:rFonts w:ascii="方正仿宋简体" w:eastAsia="方正仿宋简体" w:hAnsi="宋体" w:cs="宋体" w:hint="eastAsia"/>
          <w:b/>
          <w:sz w:val="24"/>
          <w:szCs w:val="24"/>
          <w:shd w:val="clear" w:color="auto" w:fill="FFFFFF"/>
        </w:rPr>
        <w:t>5.3报告期末非标准化债权类资产明细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7"/>
        <w:gridCol w:w="1272"/>
        <w:gridCol w:w="1695"/>
        <w:gridCol w:w="1412"/>
        <w:gridCol w:w="1695"/>
        <w:gridCol w:w="1272"/>
        <w:gridCol w:w="849"/>
      </w:tblGrid>
      <w:tr w:rsidR="00764741">
        <w:trPr>
          <w:jc w:val="center"/>
        </w:trPr>
        <w:tc>
          <w:tcPr>
            <w:tcW w:w="707" w:type="dxa"/>
            <w:vAlign w:val="center"/>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272" w:type="dxa"/>
            <w:vAlign w:val="center"/>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融资客户</w:t>
            </w:r>
          </w:p>
        </w:tc>
        <w:tc>
          <w:tcPr>
            <w:tcW w:w="1695" w:type="dxa"/>
            <w:vAlign w:val="center"/>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项目名称</w:t>
            </w:r>
          </w:p>
        </w:tc>
        <w:tc>
          <w:tcPr>
            <w:tcW w:w="1412" w:type="dxa"/>
            <w:vAlign w:val="center"/>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剩余融资期限</w:t>
            </w:r>
          </w:p>
        </w:tc>
        <w:tc>
          <w:tcPr>
            <w:tcW w:w="1695" w:type="dxa"/>
            <w:vAlign w:val="center"/>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到期收益分配</w:t>
            </w:r>
          </w:p>
        </w:tc>
        <w:tc>
          <w:tcPr>
            <w:tcW w:w="1272" w:type="dxa"/>
            <w:vAlign w:val="center"/>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交易结构</w:t>
            </w:r>
          </w:p>
        </w:tc>
        <w:tc>
          <w:tcPr>
            <w:tcW w:w="849" w:type="dxa"/>
            <w:vAlign w:val="center"/>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风险状况</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bl>
    <w:p w:rsidR="00764741" w:rsidRDefault="00764741" w:rsidP="00CA3134">
      <w:pPr>
        <w:spacing w:before="240" w:afterLines="30" w:line="360" w:lineRule="auto"/>
        <w:rPr>
          <w:rFonts w:ascii="方正仿宋简体" w:eastAsia="方正仿宋简体" w:hAnsi="宋体" w:cs="宋体"/>
          <w:kern w:val="0"/>
          <w:sz w:val="24"/>
          <w:szCs w:val="24"/>
        </w:rPr>
      </w:pPr>
    </w:p>
    <w:p w:rsidR="00764741" w:rsidRDefault="00C96A26" w:rsidP="00CA3134">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§6投资账户信息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968"/>
        <w:gridCol w:w="1437"/>
        <w:gridCol w:w="2529"/>
        <w:gridCol w:w="1984"/>
        <w:gridCol w:w="1984"/>
      </w:tblGrid>
      <w:tr w:rsidR="00764741">
        <w:trPr>
          <w:jc w:val="center"/>
        </w:trPr>
        <w:tc>
          <w:tcPr>
            <w:tcW w:w="968" w:type="dxa"/>
            <w:vAlign w:val="center"/>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437" w:type="dxa"/>
            <w:vAlign w:val="center"/>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账户类型</w:t>
            </w:r>
          </w:p>
        </w:tc>
        <w:tc>
          <w:tcPr>
            <w:tcW w:w="2529" w:type="dxa"/>
            <w:vAlign w:val="center"/>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账号</w:t>
            </w:r>
          </w:p>
        </w:tc>
        <w:tc>
          <w:tcPr>
            <w:tcW w:w="1984" w:type="dxa"/>
            <w:vAlign w:val="center"/>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账户名称</w:t>
            </w:r>
          </w:p>
        </w:tc>
        <w:tc>
          <w:tcPr>
            <w:tcW w:w="1984" w:type="dxa"/>
            <w:vAlign w:val="center"/>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开户单位</w:t>
            </w:r>
          </w:p>
        </w:tc>
      </w:tr>
      <w:tr>
        <w:trPr>
          <w:trHeight w:val="364"/>
          <w:jc w:val="center"/>
        </w:trPr>
        <w:tc>
          <w:tcPr>
            <w:tcW w:w="968"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43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托管账户</w:t>
            </w:r>
          </w:p>
        </w:tc>
        <w:tc>
          <w:tcPr>
            <w:tcW w:w="252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0120040000000473</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南京银行理财管理计划5号</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w:t>
            </w:r>
          </w:p>
        </w:tc>
      </w:tr>
    </w:tbl>
    <w:p w:rsidR="00764741" w:rsidRDefault="00764741" w:rsidP="00CA3134">
      <w:pPr>
        <w:spacing w:before="240" w:afterLines="30" w:line="360" w:lineRule="auto"/>
        <w:rPr>
          <w:rFonts w:ascii="方正仿宋简体" w:eastAsia="方正仿宋简体"/>
          <w:sz w:val="24"/>
          <w:szCs w:val="24"/>
        </w:rPr>
      </w:pPr>
    </w:p>
    <w:p w:rsidR="00764741" w:rsidRDefault="00C96A26" w:rsidP="00CA3134">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§7 关联交易情况</w:t>
      </w:r>
    </w:p>
    <w:p w:rsidR="00764741" w:rsidRDefault="00C96A26" w:rsidP="00CA3134">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lastRenderedPageBreak/>
        <w:t>报告期内，产品投资于关联方发行的</w:t>
      </w:r>
      <w:bookmarkStart w:id="0" w:name="_GoBack"/>
      <w:bookmarkEnd w:id="0"/>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764741" w:rsidRDefault="00C96A26" w:rsidP="00CA3134">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产品投资于关联方作为融资人的非标准化债权类资产业务交易金额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764741" w:rsidRDefault="00C96A26" w:rsidP="00CA3134">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产品投资于关联方承销的证券交易金额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160,011,747.95</w:t>
      </w:r>
      <w:r>
        <w:rPr>
          <w:rFonts w:ascii="方正仿宋简体" w:eastAsia="方正仿宋简体" w:hAnsi="宋体" w:cs="宋体" w:hint="eastAsia"/>
          <w:color w:val="000000"/>
          <w:kern w:val="0"/>
          <w:sz w:val="24"/>
          <w:szCs w:val="24"/>
        </w:rPr>
        <w:t>元。</w:t>
      </w:r>
    </w:p>
    <w:p w:rsidR="00764741" w:rsidRDefault="00C96A26" w:rsidP="00CA3134">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产品与关联方作为交易对手开展的投融资业务交易金额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370,000,000.00</w:t>
      </w:r>
      <w:r>
        <w:rPr>
          <w:rFonts w:ascii="方正仿宋简体" w:eastAsia="方正仿宋简体" w:hAnsi="宋体" w:cs="宋体" w:hint="eastAsia"/>
          <w:color w:val="000000"/>
          <w:kern w:val="0"/>
          <w:sz w:val="24"/>
          <w:szCs w:val="24"/>
        </w:rPr>
        <w:t>元。</w:t>
      </w:r>
    </w:p>
    <w:p w:rsidR="00764741" w:rsidRDefault="00C96A26" w:rsidP="00CA3134">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产品投资关联方作为管理人的资产管理产品交易金额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144,999,000.00</w:t>
      </w:r>
      <w:r>
        <w:rPr>
          <w:rFonts w:ascii="方正仿宋简体" w:eastAsia="方正仿宋简体" w:hAnsi="宋体" w:cs="宋体" w:hint="eastAsia"/>
          <w:color w:val="000000"/>
          <w:kern w:val="0"/>
          <w:sz w:val="24"/>
          <w:szCs w:val="24"/>
        </w:rPr>
        <w:t>元。</w:t>
      </w:r>
    </w:p>
    <w:p w:rsidR="00764741" w:rsidRDefault="000D62CF" w:rsidP="00CA3134">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w:t>
      </w:r>
      <w:r w:rsidR="00C96A26">
        <w:rPr>
          <w:rFonts w:ascii="方正仿宋简体" w:eastAsia="方正仿宋简体" w:hAnsi="宋体" w:cs="宋体" w:hint="eastAsia"/>
          <w:color w:val="000000"/>
          <w:kern w:val="0"/>
          <w:sz w:val="24"/>
          <w:szCs w:val="24"/>
        </w:rPr>
        <w:t>支付关联方托管费</w:t>
      </w:r>
      <w:r w:rsidR="00C96A26">
        <w:rPr>
          <w:rFonts w:ascii="方正仿宋简体" w:eastAsia="方正仿宋简体" w:hAnsi="宋体" w:cs="宋体"/>
          <w:color w:val="000000"/>
          <w:kern w:val="0"/>
          <w:sz w:val="24"/>
          <w:szCs w:val="24"/>
        </w:rPr>
        <w:t/>
      </w:r>
      <w:r w:rsidR="00C96A26">
        <w:rPr>
          <w:rFonts w:ascii="方正仿宋简体" w:eastAsia="方正仿宋简体" w:hAnsi="宋体" w:cs="宋体" w:hint="eastAsia"/>
          <w:color w:val="000000"/>
          <w:kern w:val="0"/>
          <w:sz w:val="24"/>
          <w:szCs w:val="24"/>
        </w:rPr>
        <w:t/>
      </w:r>
      <w:r w:rsidR="00C96A26">
        <w:rPr>
          <w:rFonts w:ascii="方正仿宋简体" w:eastAsia="方正仿宋简体" w:hAnsi="宋体" w:cs="宋体"/>
          <w:color w:val="000000"/>
          <w:kern w:val="0"/>
          <w:sz w:val="24"/>
          <w:szCs w:val="24"/>
        </w:rPr>
        <w:t>983,675.62</w:t>
      </w:r>
      <w:r>
        <w:rPr>
          <w:rFonts w:ascii="方正仿宋简体" w:eastAsia="方正仿宋简体" w:hAnsi="宋体" w:cs="宋体" w:hint="eastAsia"/>
          <w:color w:val="000000"/>
          <w:kern w:val="0"/>
          <w:sz w:val="24"/>
          <w:szCs w:val="24"/>
        </w:rPr>
        <w:t>元，</w:t>
      </w:r>
      <w:r w:rsidR="00C96A26">
        <w:rPr>
          <w:rFonts w:ascii="方正仿宋简体" w:eastAsia="方正仿宋简体" w:hAnsi="宋体" w:cs="宋体" w:hint="eastAsia"/>
          <w:color w:val="000000"/>
          <w:kern w:val="0"/>
          <w:sz w:val="24"/>
          <w:szCs w:val="24"/>
        </w:rPr>
        <w:t>支付关联方代销费</w:t>
      </w:r>
      <w:r w:rsidR="00C96A26">
        <w:rPr>
          <w:rFonts w:ascii="方正仿宋简体" w:eastAsia="方正仿宋简体" w:hAnsi="宋体" w:cs="宋体"/>
          <w:color w:val="000000"/>
          <w:kern w:val="0"/>
          <w:sz w:val="24"/>
          <w:szCs w:val="24"/>
        </w:rPr>
        <w:t/>
      </w:r>
      <w:r w:rsidR="00C96A26">
        <w:rPr>
          <w:rFonts w:ascii="方正仿宋简体" w:eastAsia="方正仿宋简体" w:hAnsi="宋体" w:cs="宋体" w:hint="eastAsia"/>
          <w:color w:val="000000"/>
          <w:kern w:val="0"/>
          <w:sz w:val="24"/>
          <w:szCs w:val="24"/>
        </w:rPr>
        <w:t/>
      </w:r>
      <w:r w:rsidR="00C96A26">
        <w:rPr>
          <w:rFonts w:ascii="方正仿宋简体" w:eastAsia="方正仿宋简体" w:hAnsi="宋体" w:cs="宋体"/>
          <w:color w:val="000000"/>
          <w:kern w:val="0"/>
          <w:sz w:val="24"/>
          <w:szCs w:val="24"/>
        </w:rPr>
        <w:t>9,679,665.44</w:t>
      </w:r>
      <w:r w:rsidR="00C96A26">
        <w:rPr>
          <w:rFonts w:ascii="方正仿宋简体" w:eastAsia="方正仿宋简体" w:hAnsi="宋体" w:cs="宋体" w:hint="eastAsia"/>
          <w:color w:val="000000"/>
          <w:kern w:val="0"/>
          <w:sz w:val="24"/>
          <w:szCs w:val="24"/>
        </w:rPr>
        <w:t>元。</w:t>
      </w:r>
    </w:p>
    <w:p w:rsidR="00764741" w:rsidRDefault="00C96A26" w:rsidP="00CA3134">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产品发生其他关联交易金额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764741" w:rsidRDefault="00C96A26" w:rsidP="00CA3134">
      <w:pPr>
        <w:spacing w:before="240" w:afterLines="30" w:line="360" w:lineRule="auto"/>
        <w:ind w:firstLineChars="200" w:firstLine="480"/>
        <w:rPr>
          <w:rFonts w:ascii="方正仿宋简体" w:eastAsia="方正仿宋简体" w:hAnsi="宋体" w:cs="宋体"/>
          <w:kern w:val="0"/>
          <w:sz w:val="24"/>
          <w:szCs w:val="24"/>
        </w:rPr>
      </w:pPr>
      <w:r>
        <w:rPr>
          <w:rFonts w:ascii="方正仿宋简体" w:eastAsia="方正仿宋简体" w:hAnsi="宋体" w:cs="宋体" w:hint="eastAsia"/>
          <w:color w:val="000000"/>
          <w:kern w:val="0"/>
          <w:sz w:val="24"/>
          <w:szCs w:val="24"/>
        </w:rPr>
        <w:t>报告期内，产品未发生重大关联交易。</w:t>
      </w:r>
    </w:p>
    <w:p w:rsidR="00764741" w:rsidRDefault="00764741" w:rsidP="00CA3134">
      <w:pPr>
        <w:spacing w:before="240" w:afterLines="30" w:line="360" w:lineRule="auto"/>
        <w:rPr>
          <w:rFonts w:ascii="方正仿宋简体" w:eastAsia="方正仿宋简体" w:hAnsi="宋体" w:cs="宋体"/>
          <w:kern w:val="0"/>
          <w:sz w:val="24"/>
          <w:szCs w:val="24"/>
        </w:rPr>
      </w:pPr>
    </w:p>
    <w:p w:rsidR="00764741" w:rsidRDefault="00764741" w:rsidP="00CA3134">
      <w:pPr>
        <w:spacing w:before="240" w:afterLines="30" w:line="360" w:lineRule="auto"/>
        <w:rPr>
          <w:rFonts w:ascii="方正仿宋简体" w:eastAsia="方正仿宋简体" w:hAnsi="宋体" w:cs="宋体"/>
          <w:kern w:val="0"/>
          <w:sz w:val="24"/>
          <w:szCs w:val="24"/>
        </w:rPr>
      </w:pPr>
    </w:p>
    <w:p w:rsidR="00764741" w:rsidRDefault="00764741" w:rsidP="00CA3134">
      <w:pPr>
        <w:spacing w:before="240" w:afterLines="30" w:line="360" w:lineRule="auto"/>
        <w:rPr>
          <w:rFonts w:ascii="方正仿宋简体" w:eastAsia="方正仿宋简体" w:hAnsi="宋体" w:cs="宋体"/>
          <w:kern w:val="0"/>
          <w:sz w:val="24"/>
          <w:szCs w:val="24"/>
        </w:rPr>
      </w:pPr>
    </w:p>
    <w:p w:rsidR="00764741" w:rsidRDefault="00C96A26" w:rsidP="00CA3134">
      <w:pPr>
        <w:spacing w:before="240" w:afterLines="30" w:line="360" w:lineRule="auto"/>
        <w:jc w:val="right"/>
        <w:rPr>
          <w:rFonts w:ascii="方正仿宋简体" w:eastAsia="方正仿宋简体" w:hAnsi="Calibri"/>
          <w:b/>
          <w:sz w:val="24"/>
          <w:szCs w:val="24"/>
        </w:rPr>
      </w:pPr>
      <w:r>
        <w:rPr>
          <w:rFonts w:ascii="方正仿宋简体" w:eastAsia="方正仿宋简体" w:hAnsi="Calibri" w:hint="eastAsia"/>
          <w:b/>
          <w:sz w:val="24"/>
          <w:szCs w:val="24"/>
        </w:rPr>
        <w:t>南银理财有限责任公司</w:t>
      </w:r>
    </w:p>
    <w:p w:rsidR="00764741" w:rsidRDefault="00C96A26" w:rsidP="00DD790A">
      <w:pPr>
        <w:spacing w:before="240" w:afterLines="30" w:line="360" w:lineRule="auto"/>
        <w:jc w:val="right"/>
        <w:rPr>
          <w:rFonts w:ascii="方正仿宋简体" w:eastAsia="方正仿宋简体"/>
          <w:b/>
          <w:sz w:val="24"/>
          <w:szCs w:val="24"/>
        </w:rPr>
      </w:pPr>
      <w:r>
        <w:rPr>
          <w:rFonts w:ascii="方正仿宋简体" w:eastAsia="方正仿宋简体" w:hint="eastAsia"/>
          <w:b/>
          <w:sz w:val="24"/>
          <w:szCs w:val="24"/>
        </w:rPr>
        <w:t>2025年06月30日</w:t>
      </w:r>
    </w:p>
    <w:sectPr w:rsidR="00764741" w:rsidSect="00764741">
      <w:headerReference w:type="default" r:id="rId7"/>
      <w:footerReference w:type="even" r:id="rId8"/>
      <w:footerReference w:type="default" r:id="rId9"/>
      <w:headerReference w:type="first" r:id="rId10"/>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0C86" w:rsidRDefault="00270C86" w:rsidP="00764741">
      <w:r>
        <w:separator/>
      </w:r>
    </w:p>
  </w:endnote>
  <w:endnote w:type="continuationSeparator" w:id="1">
    <w:p w:rsidR="00270C86" w:rsidRDefault="00270C86" w:rsidP="007647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仿宋简体">
    <w:altName w:val="Arial Unicode MS"/>
    <w:charset w:val="86"/>
    <w:family w:val="script"/>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741" w:rsidRDefault="00DD790A">
    <w:pPr>
      <w:pStyle w:val="a6"/>
      <w:framePr w:wrap="around" w:vAnchor="text" w:hAnchor="margin" w:xAlign="center" w:y="1"/>
      <w:rPr>
        <w:rStyle w:val="aa"/>
      </w:rPr>
    </w:pPr>
    <w:r>
      <w:fldChar w:fldCharType="begin"/>
    </w:r>
    <w:r w:rsidR="00C96A26">
      <w:rPr>
        <w:rStyle w:val="aa"/>
      </w:rPr>
      <w:instrText xml:space="preserve">PAGE  </w:instrText>
    </w:r>
    <w:r>
      <w:fldChar w:fldCharType="end"/>
    </w:r>
  </w:p>
  <w:p w:rsidR="00764741" w:rsidRDefault="00764741">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741" w:rsidRDefault="00764741">
    <w:pPr>
      <w:pStyle w:val="a6"/>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0C86" w:rsidRDefault="00270C86" w:rsidP="00764741">
      <w:r>
        <w:separator/>
      </w:r>
    </w:p>
  </w:footnote>
  <w:footnote w:type="continuationSeparator" w:id="1">
    <w:p w:rsidR="00270C86" w:rsidRDefault="00270C86" w:rsidP="0076474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741" w:rsidRDefault="00764741">
    <w:pPr>
      <w:pStyle w:val="a7"/>
      <w:pBdr>
        <w:bottom w:val="none" w:sz="0"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741" w:rsidRDefault="00764741">
    <w:pPr>
      <w:pStyle w:val="a7"/>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noPunctuationKerning/>
  <w:characterSpacingControl w:val="compressPunctuation"/>
  <w:hdrShapeDefaults>
    <o:shapedefaults v:ext="edit" spidmax="15362"/>
  </w:hdrShapeDefaults>
  <w:footnotePr>
    <w:footnote w:id="0"/>
    <w:footnote w:id="1"/>
  </w:footnotePr>
  <w:endnotePr>
    <w:endnote w:id="0"/>
    <w:endnote w:id="1"/>
  </w:endnotePr>
  <w:compat>
    <w:doNotExpandShiftReturn/>
    <w:useFELayout/>
  </w:compat>
  <w:rsids>
    <w:rsidRoot w:val="00172A27"/>
    <w:rsid w:val="00000A95"/>
    <w:rsid w:val="000060E5"/>
    <w:rsid w:val="00015019"/>
    <w:rsid w:val="000234FF"/>
    <w:rsid w:val="00026D52"/>
    <w:rsid w:val="000318AA"/>
    <w:rsid w:val="00034FF6"/>
    <w:rsid w:val="00044BFF"/>
    <w:rsid w:val="000470C2"/>
    <w:rsid w:val="0005474A"/>
    <w:rsid w:val="00061725"/>
    <w:rsid w:val="000633AA"/>
    <w:rsid w:val="00076996"/>
    <w:rsid w:val="00095B95"/>
    <w:rsid w:val="000A1D20"/>
    <w:rsid w:val="000A3711"/>
    <w:rsid w:val="000D5066"/>
    <w:rsid w:val="000D62CF"/>
    <w:rsid w:val="000E6ACE"/>
    <w:rsid w:val="000F06ED"/>
    <w:rsid w:val="000F27F1"/>
    <w:rsid w:val="000F6191"/>
    <w:rsid w:val="00123031"/>
    <w:rsid w:val="0012332D"/>
    <w:rsid w:val="001279EA"/>
    <w:rsid w:val="00130CE8"/>
    <w:rsid w:val="00140D8B"/>
    <w:rsid w:val="0014449D"/>
    <w:rsid w:val="00152201"/>
    <w:rsid w:val="00154C8B"/>
    <w:rsid w:val="001571B6"/>
    <w:rsid w:val="00172A27"/>
    <w:rsid w:val="001735BA"/>
    <w:rsid w:val="00176636"/>
    <w:rsid w:val="00183C84"/>
    <w:rsid w:val="00186200"/>
    <w:rsid w:val="001B497D"/>
    <w:rsid w:val="001B5014"/>
    <w:rsid w:val="001C05F9"/>
    <w:rsid w:val="001C1831"/>
    <w:rsid w:val="001C198D"/>
    <w:rsid w:val="001C5395"/>
    <w:rsid w:val="001E0BF2"/>
    <w:rsid w:val="001E2EEA"/>
    <w:rsid w:val="001E5905"/>
    <w:rsid w:val="001E7120"/>
    <w:rsid w:val="001F3B02"/>
    <w:rsid w:val="00211F26"/>
    <w:rsid w:val="00224D9D"/>
    <w:rsid w:val="00225D2E"/>
    <w:rsid w:val="002263FC"/>
    <w:rsid w:val="00227B2F"/>
    <w:rsid w:val="002448E3"/>
    <w:rsid w:val="00247A0A"/>
    <w:rsid w:val="00270C86"/>
    <w:rsid w:val="00290B55"/>
    <w:rsid w:val="00295E85"/>
    <w:rsid w:val="002A3AE9"/>
    <w:rsid w:val="002B6D66"/>
    <w:rsid w:val="002C196E"/>
    <w:rsid w:val="002D2DB0"/>
    <w:rsid w:val="002D75D0"/>
    <w:rsid w:val="002E7131"/>
    <w:rsid w:val="002E795C"/>
    <w:rsid w:val="002F536F"/>
    <w:rsid w:val="00302167"/>
    <w:rsid w:val="0030546B"/>
    <w:rsid w:val="00305714"/>
    <w:rsid w:val="00313E71"/>
    <w:rsid w:val="00321CB7"/>
    <w:rsid w:val="003379A9"/>
    <w:rsid w:val="00350ADF"/>
    <w:rsid w:val="00355623"/>
    <w:rsid w:val="00387F9B"/>
    <w:rsid w:val="00393478"/>
    <w:rsid w:val="003A0419"/>
    <w:rsid w:val="003B117F"/>
    <w:rsid w:val="003B209F"/>
    <w:rsid w:val="003C4D3B"/>
    <w:rsid w:val="003E09EA"/>
    <w:rsid w:val="003E412C"/>
    <w:rsid w:val="003F0AC3"/>
    <w:rsid w:val="003F2F04"/>
    <w:rsid w:val="00424C9A"/>
    <w:rsid w:val="004420F4"/>
    <w:rsid w:val="00455600"/>
    <w:rsid w:val="00456251"/>
    <w:rsid w:val="004B5DED"/>
    <w:rsid w:val="004C1607"/>
    <w:rsid w:val="004E621E"/>
    <w:rsid w:val="004F2359"/>
    <w:rsid w:val="004F313C"/>
    <w:rsid w:val="0050244A"/>
    <w:rsid w:val="005069D8"/>
    <w:rsid w:val="0051077F"/>
    <w:rsid w:val="00522179"/>
    <w:rsid w:val="00522858"/>
    <w:rsid w:val="0056162E"/>
    <w:rsid w:val="00563B93"/>
    <w:rsid w:val="00567DB3"/>
    <w:rsid w:val="00577124"/>
    <w:rsid w:val="00594CF2"/>
    <w:rsid w:val="005A1863"/>
    <w:rsid w:val="005A5EBA"/>
    <w:rsid w:val="005A76E9"/>
    <w:rsid w:val="005B272E"/>
    <w:rsid w:val="005B3434"/>
    <w:rsid w:val="005B7384"/>
    <w:rsid w:val="005D5ED6"/>
    <w:rsid w:val="005D7503"/>
    <w:rsid w:val="005E0686"/>
    <w:rsid w:val="005E2884"/>
    <w:rsid w:val="005E40C5"/>
    <w:rsid w:val="005E5050"/>
    <w:rsid w:val="005F2C7B"/>
    <w:rsid w:val="005F4D04"/>
    <w:rsid w:val="005F6E0D"/>
    <w:rsid w:val="005F7DA9"/>
    <w:rsid w:val="006054F8"/>
    <w:rsid w:val="006512E1"/>
    <w:rsid w:val="0065419A"/>
    <w:rsid w:val="00654220"/>
    <w:rsid w:val="006624C2"/>
    <w:rsid w:val="00663B94"/>
    <w:rsid w:val="00676076"/>
    <w:rsid w:val="00677F66"/>
    <w:rsid w:val="00682644"/>
    <w:rsid w:val="006C1014"/>
    <w:rsid w:val="006C63D5"/>
    <w:rsid w:val="006D5D22"/>
    <w:rsid w:val="006E3BA0"/>
    <w:rsid w:val="006E4E94"/>
    <w:rsid w:val="006F69B2"/>
    <w:rsid w:val="007017D8"/>
    <w:rsid w:val="0070424D"/>
    <w:rsid w:val="007065D7"/>
    <w:rsid w:val="00730BEE"/>
    <w:rsid w:val="0073101E"/>
    <w:rsid w:val="00735153"/>
    <w:rsid w:val="00745421"/>
    <w:rsid w:val="00745F96"/>
    <w:rsid w:val="0074729D"/>
    <w:rsid w:val="00764741"/>
    <w:rsid w:val="00782F29"/>
    <w:rsid w:val="00796214"/>
    <w:rsid w:val="007A26F4"/>
    <w:rsid w:val="007A2EA2"/>
    <w:rsid w:val="007A4219"/>
    <w:rsid w:val="007B08DF"/>
    <w:rsid w:val="007E0B6E"/>
    <w:rsid w:val="007E1F20"/>
    <w:rsid w:val="007E4637"/>
    <w:rsid w:val="00800690"/>
    <w:rsid w:val="0080200C"/>
    <w:rsid w:val="00802D0C"/>
    <w:rsid w:val="00814110"/>
    <w:rsid w:val="0082561A"/>
    <w:rsid w:val="008355C6"/>
    <w:rsid w:val="00846B2E"/>
    <w:rsid w:val="0085663C"/>
    <w:rsid w:val="00870717"/>
    <w:rsid w:val="008768AB"/>
    <w:rsid w:val="008870FD"/>
    <w:rsid w:val="008904CC"/>
    <w:rsid w:val="008926F7"/>
    <w:rsid w:val="00895C9A"/>
    <w:rsid w:val="008A7510"/>
    <w:rsid w:val="008B614C"/>
    <w:rsid w:val="008C78BD"/>
    <w:rsid w:val="008D0A6C"/>
    <w:rsid w:val="008D1734"/>
    <w:rsid w:val="008D4A87"/>
    <w:rsid w:val="008F084D"/>
    <w:rsid w:val="008F099C"/>
    <w:rsid w:val="008F0FA3"/>
    <w:rsid w:val="00900D90"/>
    <w:rsid w:val="009354D6"/>
    <w:rsid w:val="00956754"/>
    <w:rsid w:val="00962A4F"/>
    <w:rsid w:val="00967442"/>
    <w:rsid w:val="009679B0"/>
    <w:rsid w:val="00970A98"/>
    <w:rsid w:val="00977E89"/>
    <w:rsid w:val="00991B0F"/>
    <w:rsid w:val="009A38D2"/>
    <w:rsid w:val="009A4A1A"/>
    <w:rsid w:val="009A4E79"/>
    <w:rsid w:val="009B1695"/>
    <w:rsid w:val="009B1F45"/>
    <w:rsid w:val="009B2EEF"/>
    <w:rsid w:val="009B6FFA"/>
    <w:rsid w:val="009C6A99"/>
    <w:rsid w:val="009C781F"/>
    <w:rsid w:val="009D5296"/>
    <w:rsid w:val="009E6170"/>
    <w:rsid w:val="009F1FD4"/>
    <w:rsid w:val="009F4338"/>
    <w:rsid w:val="00A061C5"/>
    <w:rsid w:val="00A10233"/>
    <w:rsid w:val="00A204A0"/>
    <w:rsid w:val="00A4484F"/>
    <w:rsid w:val="00A51117"/>
    <w:rsid w:val="00A66D8E"/>
    <w:rsid w:val="00A7328D"/>
    <w:rsid w:val="00A73EDD"/>
    <w:rsid w:val="00A76D4B"/>
    <w:rsid w:val="00A77C47"/>
    <w:rsid w:val="00A8398D"/>
    <w:rsid w:val="00A9119C"/>
    <w:rsid w:val="00A917EF"/>
    <w:rsid w:val="00A94A56"/>
    <w:rsid w:val="00AA36EB"/>
    <w:rsid w:val="00AA4549"/>
    <w:rsid w:val="00AA5B04"/>
    <w:rsid w:val="00AA6CFF"/>
    <w:rsid w:val="00AB441C"/>
    <w:rsid w:val="00AC3D79"/>
    <w:rsid w:val="00AC5144"/>
    <w:rsid w:val="00AC5DC1"/>
    <w:rsid w:val="00AF0183"/>
    <w:rsid w:val="00AF32B4"/>
    <w:rsid w:val="00B02B36"/>
    <w:rsid w:val="00B13014"/>
    <w:rsid w:val="00B17559"/>
    <w:rsid w:val="00B23E1D"/>
    <w:rsid w:val="00B33978"/>
    <w:rsid w:val="00B33B19"/>
    <w:rsid w:val="00B3722F"/>
    <w:rsid w:val="00B404E6"/>
    <w:rsid w:val="00B4360D"/>
    <w:rsid w:val="00B61EA9"/>
    <w:rsid w:val="00B670D1"/>
    <w:rsid w:val="00B74631"/>
    <w:rsid w:val="00B74DCA"/>
    <w:rsid w:val="00B81AF5"/>
    <w:rsid w:val="00B86527"/>
    <w:rsid w:val="00B912D0"/>
    <w:rsid w:val="00B93352"/>
    <w:rsid w:val="00B964AE"/>
    <w:rsid w:val="00BA24C5"/>
    <w:rsid w:val="00BA5103"/>
    <w:rsid w:val="00BA632A"/>
    <w:rsid w:val="00BC055C"/>
    <w:rsid w:val="00BC3903"/>
    <w:rsid w:val="00BE47E0"/>
    <w:rsid w:val="00BF20F4"/>
    <w:rsid w:val="00BF3D9D"/>
    <w:rsid w:val="00BF75C8"/>
    <w:rsid w:val="00C00058"/>
    <w:rsid w:val="00C1762E"/>
    <w:rsid w:val="00C20F36"/>
    <w:rsid w:val="00C21F05"/>
    <w:rsid w:val="00C25123"/>
    <w:rsid w:val="00C2582A"/>
    <w:rsid w:val="00C30A48"/>
    <w:rsid w:val="00C375A7"/>
    <w:rsid w:val="00C44DFE"/>
    <w:rsid w:val="00C6038A"/>
    <w:rsid w:val="00C62DF8"/>
    <w:rsid w:val="00C640FB"/>
    <w:rsid w:val="00C8514A"/>
    <w:rsid w:val="00C86023"/>
    <w:rsid w:val="00C94EBA"/>
    <w:rsid w:val="00C96A26"/>
    <w:rsid w:val="00CA3134"/>
    <w:rsid w:val="00CA329A"/>
    <w:rsid w:val="00CB054E"/>
    <w:rsid w:val="00CB77F4"/>
    <w:rsid w:val="00CC52D7"/>
    <w:rsid w:val="00CE4DED"/>
    <w:rsid w:val="00D20F53"/>
    <w:rsid w:val="00D23611"/>
    <w:rsid w:val="00D23AB6"/>
    <w:rsid w:val="00D42FB5"/>
    <w:rsid w:val="00D50309"/>
    <w:rsid w:val="00D51AA9"/>
    <w:rsid w:val="00D7264A"/>
    <w:rsid w:val="00D84E43"/>
    <w:rsid w:val="00D870DF"/>
    <w:rsid w:val="00DA30A0"/>
    <w:rsid w:val="00DB0C2F"/>
    <w:rsid w:val="00DB3BF6"/>
    <w:rsid w:val="00DB56A2"/>
    <w:rsid w:val="00DC1B13"/>
    <w:rsid w:val="00DC31CC"/>
    <w:rsid w:val="00DC728A"/>
    <w:rsid w:val="00DD2F3C"/>
    <w:rsid w:val="00DD4A55"/>
    <w:rsid w:val="00DD65B5"/>
    <w:rsid w:val="00DD790A"/>
    <w:rsid w:val="00DF6907"/>
    <w:rsid w:val="00E1059D"/>
    <w:rsid w:val="00E126A1"/>
    <w:rsid w:val="00E155DF"/>
    <w:rsid w:val="00E174FA"/>
    <w:rsid w:val="00E211CB"/>
    <w:rsid w:val="00E246E1"/>
    <w:rsid w:val="00E314CE"/>
    <w:rsid w:val="00E514EB"/>
    <w:rsid w:val="00E52823"/>
    <w:rsid w:val="00E52B10"/>
    <w:rsid w:val="00E600D0"/>
    <w:rsid w:val="00E61D14"/>
    <w:rsid w:val="00E7192D"/>
    <w:rsid w:val="00E84803"/>
    <w:rsid w:val="00E944FA"/>
    <w:rsid w:val="00E9797A"/>
    <w:rsid w:val="00EB0DB4"/>
    <w:rsid w:val="00ED1047"/>
    <w:rsid w:val="00EE0436"/>
    <w:rsid w:val="00EF04A5"/>
    <w:rsid w:val="00F1509F"/>
    <w:rsid w:val="00F258C8"/>
    <w:rsid w:val="00F31489"/>
    <w:rsid w:val="00F41324"/>
    <w:rsid w:val="00F47D39"/>
    <w:rsid w:val="00F57C12"/>
    <w:rsid w:val="00F609FD"/>
    <w:rsid w:val="00F64BD9"/>
    <w:rsid w:val="00F6532B"/>
    <w:rsid w:val="00F65ACC"/>
    <w:rsid w:val="00F7052D"/>
    <w:rsid w:val="00F721EB"/>
    <w:rsid w:val="00F771E3"/>
    <w:rsid w:val="00F8162C"/>
    <w:rsid w:val="00F859AB"/>
    <w:rsid w:val="00F950D0"/>
    <w:rsid w:val="00F95840"/>
    <w:rsid w:val="00FA0110"/>
    <w:rsid w:val="00FA2C26"/>
    <w:rsid w:val="00FC027F"/>
    <w:rsid w:val="00FD1F12"/>
    <w:rsid w:val="00FD412B"/>
    <w:rsid w:val="00FF26C8"/>
    <w:rsid w:val="00FF2805"/>
    <w:rsid w:val="016D581F"/>
    <w:rsid w:val="030F2BA7"/>
    <w:rsid w:val="04240CEE"/>
    <w:rsid w:val="065551D3"/>
    <w:rsid w:val="06C37561"/>
    <w:rsid w:val="06C96D53"/>
    <w:rsid w:val="0A236A5A"/>
    <w:rsid w:val="10992483"/>
    <w:rsid w:val="111D4539"/>
    <w:rsid w:val="13297F9C"/>
    <w:rsid w:val="134727C6"/>
    <w:rsid w:val="141A5102"/>
    <w:rsid w:val="15FE575C"/>
    <w:rsid w:val="16B5123F"/>
    <w:rsid w:val="1ADC05C7"/>
    <w:rsid w:val="1E911FB2"/>
    <w:rsid w:val="20F325AF"/>
    <w:rsid w:val="216F6F5C"/>
    <w:rsid w:val="22D04645"/>
    <w:rsid w:val="22E23E75"/>
    <w:rsid w:val="2555668E"/>
    <w:rsid w:val="25AF3A81"/>
    <w:rsid w:val="26FD4196"/>
    <w:rsid w:val="28CD1EA7"/>
    <w:rsid w:val="29F7636C"/>
    <w:rsid w:val="2A2232BA"/>
    <w:rsid w:val="32955A2A"/>
    <w:rsid w:val="32AE1BB2"/>
    <w:rsid w:val="330069B2"/>
    <w:rsid w:val="36341C31"/>
    <w:rsid w:val="368076E6"/>
    <w:rsid w:val="378F5AE0"/>
    <w:rsid w:val="37F709A6"/>
    <w:rsid w:val="38AF1625"/>
    <w:rsid w:val="39E872E9"/>
    <w:rsid w:val="3ABE1FB8"/>
    <w:rsid w:val="3C753CC7"/>
    <w:rsid w:val="3F2C3B54"/>
    <w:rsid w:val="40990310"/>
    <w:rsid w:val="459870AF"/>
    <w:rsid w:val="45ED49CE"/>
    <w:rsid w:val="46F0109E"/>
    <w:rsid w:val="47475A63"/>
    <w:rsid w:val="4AA75F9F"/>
    <w:rsid w:val="4E276A76"/>
    <w:rsid w:val="509017BA"/>
    <w:rsid w:val="51482FC3"/>
    <w:rsid w:val="52830253"/>
    <w:rsid w:val="541C469D"/>
    <w:rsid w:val="5BE61B5E"/>
    <w:rsid w:val="602D020F"/>
    <w:rsid w:val="63D15A99"/>
    <w:rsid w:val="64C67B5C"/>
    <w:rsid w:val="66F47EBC"/>
    <w:rsid w:val="681903E9"/>
    <w:rsid w:val="68823415"/>
    <w:rsid w:val="6898111C"/>
    <w:rsid w:val="6A485270"/>
    <w:rsid w:val="6C653963"/>
    <w:rsid w:val="6D05415D"/>
    <w:rsid w:val="6F66394D"/>
    <w:rsid w:val="73193673"/>
    <w:rsid w:val="74543F24"/>
    <w:rsid w:val="74BE328D"/>
    <w:rsid w:val="780E0FCF"/>
    <w:rsid w:val="78AA3E46"/>
    <w:rsid w:val="7E7247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semiHidden="0" w:qFormat="1"/>
    <w:lsdException w:name="header" w:semiHidden="0" w:qFormat="1"/>
    <w:lsdException w:name="footer" w:semiHidden="0" w:qFormat="1"/>
    <w:lsdException w:name="caption" w:uiPriority="35" w:qFormat="1"/>
    <w:lsdException w:name="footnote reference" w:semiHidden="0" w:qFormat="1"/>
    <w:lsdException w:name="annotation reference" w:semiHidden="0"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4741"/>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764741"/>
    <w:rPr>
      <w:b/>
      <w:bCs/>
    </w:rPr>
  </w:style>
  <w:style w:type="paragraph" w:styleId="a4">
    <w:name w:val="annotation text"/>
    <w:basedOn w:val="a"/>
    <w:link w:val="Char0"/>
    <w:uiPriority w:val="99"/>
    <w:unhideWhenUsed/>
    <w:qFormat/>
    <w:rsid w:val="00764741"/>
    <w:pPr>
      <w:jc w:val="left"/>
    </w:pPr>
  </w:style>
  <w:style w:type="paragraph" w:styleId="a5">
    <w:name w:val="Balloon Text"/>
    <w:basedOn w:val="a"/>
    <w:link w:val="Char1"/>
    <w:uiPriority w:val="99"/>
    <w:unhideWhenUsed/>
    <w:qFormat/>
    <w:rsid w:val="00764741"/>
    <w:rPr>
      <w:sz w:val="18"/>
      <w:szCs w:val="18"/>
    </w:rPr>
  </w:style>
  <w:style w:type="paragraph" w:styleId="a6">
    <w:name w:val="footer"/>
    <w:basedOn w:val="a"/>
    <w:link w:val="Char2"/>
    <w:uiPriority w:val="99"/>
    <w:unhideWhenUsed/>
    <w:qFormat/>
    <w:rsid w:val="00764741"/>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764741"/>
    <w:pPr>
      <w:pBdr>
        <w:bottom w:val="single" w:sz="6" w:space="1" w:color="auto"/>
      </w:pBdr>
      <w:tabs>
        <w:tab w:val="center" w:pos="4153"/>
        <w:tab w:val="right" w:pos="8306"/>
      </w:tabs>
      <w:snapToGrid w:val="0"/>
      <w:jc w:val="center"/>
    </w:pPr>
    <w:rPr>
      <w:sz w:val="18"/>
      <w:szCs w:val="18"/>
    </w:rPr>
  </w:style>
  <w:style w:type="paragraph" w:styleId="a8">
    <w:name w:val="footnote text"/>
    <w:basedOn w:val="a"/>
    <w:uiPriority w:val="99"/>
    <w:unhideWhenUsed/>
    <w:qFormat/>
    <w:rsid w:val="00764741"/>
    <w:pPr>
      <w:snapToGrid w:val="0"/>
      <w:jc w:val="left"/>
    </w:pPr>
    <w:rPr>
      <w:sz w:val="18"/>
    </w:rPr>
  </w:style>
  <w:style w:type="paragraph" w:styleId="a9">
    <w:name w:val="Normal (Web)"/>
    <w:basedOn w:val="a"/>
    <w:qFormat/>
    <w:rsid w:val="00764741"/>
    <w:pPr>
      <w:widowControl/>
      <w:spacing w:before="100" w:beforeAutospacing="1" w:after="100" w:afterAutospacing="1"/>
      <w:jc w:val="left"/>
    </w:pPr>
    <w:rPr>
      <w:rFonts w:ascii="宋体" w:hAnsi="宋体"/>
      <w:kern w:val="0"/>
      <w:sz w:val="24"/>
      <w:szCs w:val="24"/>
    </w:rPr>
  </w:style>
  <w:style w:type="character" w:styleId="aa">
    <w:name w:val="page number"/>
    <w:basedOn w:val="a0"/>
    <w:uiPriority w:val="99"/>
    <w:unhideWhenUsed/>
    <w:qFormat/>
    <w:rsid w:val="00764741"/>
  </w:style>
  <w:style w:type="character" w:styleId="ab">
    <w:name w:val="annotation reference"/>
    <w:uiPriority w:val="99"/>
    <w:unhideWhenUsed/>
    <w:qFormat/>
    <w:rsid w:val="00764741"/>
    <w:rPr>
      <w:sz w:val="21"/>
      <w:szCs w:val="21"/>
    </w:rPr>
  </w:style>
  <w:style w:type="character" w:styleId="ac">
    <w:name w:val="footnote reference"/>
    <w:uiPriority w:val="99"/>
    <w:unhideWhenUsed/>
    <w:qFormat/>
    <w:rsid w:val="00764741"/>
    <w:rPr>
      <w:vertAlign w:val="superscript"/>
    </w:rPr>
  </w:style>
  <w:style w:type="character" w:customStyle="1" w:styleId="Char1">
    <w:name w:val="批注框文本 Char"/>
    <w:link w:val="a5"/>
    <w:uiPriority w:val="99"/>
    <w:semiHidden/>
    <w:qFormat/>
    <w:rsid w:val="00764741"/>
    <w:rPr>
      <w:kern w:val="2"/>
      <w:sz w:val="18"/>
      <w:szCs w:val="18"/>
    </w:rPr>
  </w:style>
  <w:style w:type="character" w:customStyle="1" w:styleId="Char3">
    <w:name w:val="页眉 Char"/>
    <w:link w:val="a7"/>
    <w:uiPriority w:val="99"/>
    <w:semiHidden/>
    <w:qFormat/>
    <w:locked/>
    <w:rsid w:val="00764741"/>
    <w:rPr>
      <w:rFonts w:ascii="Times New Roman" w:hAnsi="Times New Roman" w:cs="Times New Roman" w:hint="default"/>
      <w:sz w:val="18"/>
      <w:szCs w:val="18"/>
    </w:rPr>
  </w:style>
  <w:style w:type="character" w:customStyle="1" w:styleId="Char">
    <w:name w:val="批注主题 Char"/>
    <w:link w:val="a3"/>
    <w:uiPriority w:val="99"/>
    <w:semiHidden/>
    <w:qFormat/>
    <w:rsid w:val="00764741"/>
    <w:rPr>
      <w:b/>
      <w:bCs/>
      <w:kern w:val="2"/>
      <w:sz w:val="21"/>
      <w:szCs w:val="22"/>
    </w:rPr>
  </w:style>
  <w:style w:type="character" w:customStyle="1" w:styleId="Char2">
    <w:name w:val="页脚 Char"/>
    <w:link w:val="a6"/>
    <w:uiPriority w:val="99"/>
    <w:semiHidden/>
    <w:qFormat/>
    <w:locked/>
    <w:rsid w:val="00764741"/>
    <w:rPr>
      <w:rFonts w:ascii="Times New Roman" w:hAnsi="Times New Roman" w:cs="Times New Roman" w:hint="default"/>
      <w:sz w:val="18"/>
      <w:szCs w:val="18"/>
    </w:rPr>
  </w:style>
  <w:style w:type="character" w:customStyle="1" w:styleId="Char0">
    <w:name w:val="批注文字 Char"/>
    <w:link w:val="a4"/>
    <w:uiPriority w:val="99"/>
    <w:qFormat/>
    <w:rsid w:val="00764741"/>
    <w:rPr>
      <w:kern w:val="2"/>
      <w:sz w:val="21"/>
      <w:szCs w:val="22"/>
    </w:rPr>
  </w:style>
  <w:style w:type="paragraph" w:customStyle="1" w:styleId="zhongyaotishi">
    <w:name w:val="zhongyaotishi"/>
    <w:basedOn w:val="a"/>
    <w:qFormat/>
    <w:rsid w:val="00764741"/>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zhangjiep">
    <w:name w:val="zhangjie_p"/>
    <w:basedOn w:val="a"/>
    <w:qFormat/>
    <w:rsid w:val="00764741"/>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biaogeright1">
    <w:name w:val="biaoge_right1"/>
    <w:basedOn w:val="a"/>
    <w:qFormat/>
    <w:rsid w:val="00764741"/>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right">
    <w:name w:val="biaoge_right"/>
    <w:basedOn w:val="a"/>
    <w:qFormat/>
    <w:rsid w:val="00764741"/>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center">
    <w:name w:val="biaoge_center"/>
    <w:basedOn w:val="a"/>
    <w:qFormat/>
    <w:rsid w:val="00764741"/>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msonormalfy">
    <w:name w:val="msonormalfy"/>
    <w:qFormat/>
    <w:rsid w:val="00764741"/>
    <w:pPr>
      <w:widowControl w:val="0"/>
      <w:jc w:val="center"/>
    </w:pPr>
    <w:rPr>
      <w:kern w:val="2"/>
      <w:sz w:val="33"/>
      <w:szCs w:val="22"/>
    </w:rPr>
  </w:style>
  <w:style w:type="paragraph" w:customStyle="1" w:styleId="biaogeleft">
    <w:name w:val="biaoge_left"/>
    <w:basedOn w:val="a"/>
    <w:qFormat/>
    <w:rsid w:val="00764741"/>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dazhangjie">
    <w:name w:val="dazhangjie"/>
    <w:basedOn w:val="a"/>
    <w:qFormat/>
    <w:rsid w:val="00764741"/>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zhangjiep2">
    <w:name w:val="zhangjie_p2"/>
    <w:basedOn w:val="a"/>
    <w:qFormat/>
    <w:rsid w:val="00764741"/>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hide">
    <w:name w:val="hide"/>
    <w:basedOn w:val="a"/>
    <w:qFormat/>
    <w:rsid w:val="00764741"/>
    <w:pPr>
      <w:widowControl/>
      <w:spacing w:before="100" w:beforeAutospacing="1" w:after="100" w:afterAutospacing="1"/>
      <w:jc w:val="left"/>
    </w:pPr>
    <w:rPr>
      <w:rFonts w:ascii="宋体" w:hAnsi="宋体" w:cs="宋体"/>
      <w:vanish/>
      <w:kern w:val="0"/>
      <w:sz w:val="24"/>
      <w:szCs w:val="24"/>
    </w:rPr>
  </w:style>
  <w:style w:type="paragraph" w:customStyle="1" w:styleId="show">
    <w:name w:val="show"/>
    <w:basedOn w:val="a"/>
    <w:qFormat/>
    <w:rsid w:val="00764741"/>
    <w:pPr>
      <w:widowControl/>
      <w:spacing w:before="100" w:beforeAutospacing="1" w:after="100" w:afterAutospacing="1"/>
      <w:jc w:val="left"/>
    </w:pPr>
    <w:rPr>
      <w:rFonts w:ascii="宋体" w:hAnsi="宋体" w:cs="宋体"/>
      <w:kern w:val="0"/>
      <w:sz w:val="24"/>
      <w:szCs w:val="24"/>
    </w:rPr>
  </w:style>
  <w:style w:type="paragraph" w:customStyle="1" w:styleId="msonormalnone">
    <w:name w:val="msonormal_none"/>
    <w:qFormat/>
    <w:rsid w:val="00764741"/>
    <w:pPr>
      <w:widowControl w:val="0"/>
    </w:pPr>
    <w:rPr>
      <w:kern w:val="2"/>
      <w:sz w:val="21"/>
      <w:szCs w:val="22"/>
    </w:rPr>
  </w:style>
  <w:style w:type="paragraph" w:customStyle="1" w:styleId="neirong">
    <w:name w:val="neirong"/>
    <w:basedOn w:val="a"/>
    <w:qFormat/>
    <w:rsid w:val="00764741"/>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
    <w:name w:val="正文1"/>
    <w:qFormat/>
    <w:rsid w:val="00764741"/>
    <w:pPr>
      <w:jc w:val="both"/>
    </w:pPr>
    <w:rPr>
      <w:kern w:val="2"/>
      <w:sz w:val="21"/>
      <w:szCs w:val="21"/>
    </w:rPr>
  </w:style>
  <w:style w:type="paragraph" w:customStyle="1" w:styleId="Default">
    <w:name w:val="Default"/>
    <w:qFormat/>
    <w:rsid w:val="00764741"/>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header2.xml" Type="http://schemas.openxmlformats.org/officeDocument/2006/relationships/header"/><Relationship Id="rId11" Target="fontTable.xml" Type="http://schemas.openxmlformats.org/officeDocument/2006/relationships/fontTable"/><Relationship Id="rId12"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oter2.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383</Words>
  <Characters>2185</Characters>
  <Application>Microsoft Office Word</Application>
  <DocSecurity>0</DocSecurity>
  <Lines>18</Lines>
  <Paragraphs>5</Paragraphs>
  <ScaleCrop>false</ScaleCrop>
  <Company>微软中国</Company>
  <LinksUpToDate>false</LinksUpToDate>
  <CharactersWithSpaces>2563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2022-07-28T10:18:00Z</dcterms:created>
  <dc:creator>总行金融市场部本币投资交易部梅浩超</dc:creator>
  <cp:lastModifiedBy>yytx</cp:lastModifiedBy>
  <cp:lastPrinted>2019-09-11T00:56:00Z</cp:lastPrinted>
  <dcterms:modified xsi:type="dcterms:W3CDTF">2025-08-21T07:50:00Z</dcterms:modified>
  <cp:revision>119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