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F2290" w14:textId="77777777" w:rsidR="00FD04DE" w:rsidRDefault="00FD04DE" w:rsidP="00651A79">
      <w:pPr>
        <w:spacing w:before="240" w:afterLines="30" w:after="72" w:line="360" w:lineRule="auto"/>
        <w:jc w:val="center"/>
      </w:pPr>
    </w:p>
    <w:p w14:paraId="01FDD4AB" w14:textId="77777777" w:rsidR="00FD04DE" w:rsidRDefault="00FD04DE" w:rsidP="00651A79">
      <w:pPr>
        <w:spacing w:before="240" w:afterLines="30" w:after="72" w:line="360" w:lineRule="auto"/>
        <w:jc w:val="center"/>
      </w:pPr>
    </w:p>
    <w:p w14:paraId="01D45C3F" w14:textId="77777777" w:rsidR="00FD04DE" w:rsidRDefault="00FD04DE" w:rsidP="00651A79">
      <w:pPr>
        <w:spacing w:before="240" w:afterLines="30" w:after="72" w:line="360" w:lineRule="auto"/>
        <w:jc w:val="center"/>
      </w:pPr>
    </w:p>
    <w:p w14:paraId="4AE3923D" w14:textId="77777777" w:rsidR="00FD04DE" w:rsidRDefault="0068117A" w:rsidP="00651A79">
      <w:pPr>
        <w:spacing w:before="240" w:afterLines="30" w:after="72" w:line="360" w:lineRule="auto"/>
        <w:jc w:val="center"/>
        <w:rPr>
          <w:rFonts w:ascii="方正黑体简体" w:eastAsia="方正黑体简体"/>
          <w:sz w:val="36"/>
        </w:rPr>
      </w:pPr>
      <w:proofErr w:type="gramStart"/>
      <w:r>
        <w:rPr>
          <w:rFonts w:ascii="方正黑体简体" w:eastAsia="方正黑体简体"/>
          <w:sz w:val="36"/>
        </w:rPr>
        <w:t>南银理财添瑞</w:t>
      </w:r>
      <w:proofErr w:type="gramEnd"/>
      <w:r>
        <w:rPr>
          <w:rFonts w:ascii="方正黑体简体" w:eastAsia="方正黑体简体"/>
          <w:sz w:val="36"/>
        </w:rPr>
        <w:t>日日聚宝7号现金</w:t>
      </w:r>
      <w:proofErr w:type="gramStart"/>
      <w:r>
        <w:rPr>
          <w:rFonts w:ascii="方正黑体简体" w:eastAsia="方正黑体简体"/>
          <w:sz w:val="36"/>
        </w:rPr>
        <w:t>管理类公募</w:t>
      </w:r>
      <w:proofErr w:type="gramEnd"/>
      <w:r>
        <w:rPr>
          <w:rFonts w:ascii="方正黑体简体" w:eastAsia="方正黑体简体"/>
          <w:sz w:val="36"/>
        </w:rPr>
        <w:t>人民币理财产品</w:t>
      </w:r>
    </w:p>
    <w:p w14:paraId="176E053A" w14:textId="77777777" w:rsidR="00FD04DE" w:rsidRDefault="0068117A" w:rsidP="00651A79">
      <w:pPr>
        <w:spacing w:before="240" w:afterLines="30" w:after="72"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14:paraId="72CB3073" w14:textId="77777777" w:rsidR="00FD04DE" w:rsidRDefault="00FD04DE" w:rsidP="00651A79">
      <w:pPr>
        <w:spacing w:before="240" w:afterLines="30" w:after="72" w:line="360" w:lineRule="auto"/>
        <w:jc w:val="center"/>
        <w:rPr>
          <w:rFonts w:ascii="黑体" w:eastAsia="黑体" w:hAnsi="黑体"/>
          <w:sz w:val="36"/>
        </w:rPr>
      </w:pPr>
    </w:p>
    <w:p w14:paraId="780E9653" w14:textId="77777777" w:rsidR="00FD04DE" w:rsidRDefault="00FD04DE" w:rsidP="00651A79">
      <w:pPr>
        <w:spacing w:before="240" w:afterLines="30" w:after="72" w:line="360" w:lineRule="auto"/>
        <w:jc w:val="center"/>
        <w:rPr>
          <w:rFonts w:ascii="黑体" w:eastAsia="黑体" w:hAnsi="黑体"/>
          <w:sz w:val="36"/>
        </w:rPr>
      </w:pPr>
    </w:p>
    <w:p w14:paraId="62A9D361" w14:textId="77777777" w:rsidR="00FD04DE" w:rsidRDefault="00FD04DE" w:rsidP="00651A79">
      <w:pPr>
        <w:spacing w:before="240" w:afterLines="30" w:after="72" w:line="360" w:lineRule="auto"/>
        <w:jc w:val="center"/>
        <w:rPr>
          <w:rFonts w:ascii="黑体" w:eastAsia="黑体" w:hAnsi="黑体"/>
          <w:sz w:val="36"/>
        </w:rPr>
      </w:pPr>
    </w:p>
    <w:p w14:paraId="281F195D" w14:textId="77777777" w:rsidR="00FD04DE" w:rsidRDefault="00FD04DE" w:rsidP="00651A79">
      <w:pPr>
        <w:spacing w:before="240" w:afterLines="30" w:after="72" w:line="360" w:lineRule="auto"/>
        <w:jc w:val="center"/>
        <w:rPr>
          <w:rFonts w:ascii="黑体" w:eastAsia="黑体" w:hAnsi="黑体"/>
          <w:sz w:val="36"/>
        </w:rPr>
      </w:pPr>
    </w:p>
    <w:p w14:paraId="4C1CD88E" w14:textId="77777777" w:rsidR="00FD04DE" w:rsidRDefault="00FD04DE" w:rsidP="00651A79">
      <w:pPr>
        <w:spacing w:before="240" w:afterLines="30" w:after="72" w:line="360" w:lineRule="auto"/>
        <w:jc w:val="center"/>
        <w:rPr>
          <w:rFonts w:ascii="黑体" w:eastAsia="黑体" w:hAnsi="黑体"/>
          <w:sz w:val="36"/>
        </w:rPr>
      </w:pPr>
    </w:p>
    <w:p w14:paraId="09AC9C47" w14:textId="77777777" w:rsidR="00FD04DE" w:rsidRDefault="00FD04DE" w:rsidP="00651A79">
      <w:pPr>
        <w:spacing w:before="240" w:afterLines="30" w:after="72" w:line="360" w:lineRule="auto"/>
        <w:jc w:val="center"/>
        <w:rPr>
          <w:rFonts w:ascii="黑体" w:eastAsia="黑体" w:hAnsi="黑体"/>
          <w:sz w:val="36"/>
        </w:rPr>
      </w:pPr>
    </w:p>
    <w:p w14:paraId="3DF3F75B"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proofErr w:type="gramStart"/>
      <w:r>
        <w:rPr>
          <w:rFonts w:ascii="方正仿宋简体" w:eastAsia="方正仿宋简体"/>
          <w:b/>
          <w:sz w:val="24"/>
          <w:szCs w:val="24"/>
        </w:rPr>
        <w:t>南银理财</w:t>
      </w:r>
      <w:proofErr w:type="gramEnd"/>
      <w:r>
        <w:rPr>
          <w:rFonts w:ascii="方正仿宋简体" w:eastAsia="方正仿宋简体"/>
          <w:b/>
          <w:sz w:val="24"/>
          <w:szCs w:val="24"/>
        </w:rPr>
        <w:t>有限责任公司</w:t>
      </w:r>
    </w:p>
    <w:p w14:paraId="5365344D"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14:paraId="6C944A6F" w14:textId="77777777" w:rsidR="00FD04DE" w:rsidRDefault="0068117A">
      <w:pPr>
        <w:widowControl/>
        <w:jc w:val="left"/>
        <w:rPr>
          <w:rFonts w:ascii="方正仿宋简体" w:eastAsia="方正仿宋简体"/>
        </w:rPr>
      </w:pPr>
      <w:r>
        <w:rPr>
          <w:rFonts w:ascii="方正仿宋简体" w:eastAsia="方正仿宋简体"/>
        </w:rPr>
        <w:br w:type="page"/>
      </w:r>
    </w:p>
    <w:p w14:paraId="0FF863B6" w14:textId="77777777" w:rsidR="00FD04DE" w:rsidRDefault="0068117A" w:rsidP="00651A79">
      <w:pPr>
        <w:spacing w:before="240" w:afterLines="30" w:after="72" w:line="360" w:lineRule="auto"/>
        <w:jc w:val="center"/>
        <w:rPr>
          <w:rFonts w:ascii="方正仿宋简体" w:eastAsia="方正仿宋简体"/>
        </w:rPr>
      </w:pPr>
      <w:r>
        <w:rPr>
          <w:rFonts w:ascii="方正仿宋简体" w:eastAsia="方正仿宋简体" w:hAnsi="Calibri" w:hint="eastAsia"/>
          <w:b/>
          <w:sz w:val="24"/>
          <w:szCs w:val="24"/>
        </w:rPr>
        <w:lastRenderedPageBreak/>
        <w:t>§1 产品概况</w:t>
      </w:r>
    </w:p>
    <w:tbl>
      <w:tblPr>
        <w:tblW w:w="8818"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24"/>
        <w:gridCol w:w="6094"/>
      </w:tblGrid>
      <w:tr w:rsidR="00FD04DE" w14:paraId="268B7B51" w14:textId="77777777">
        <w:trPr>
          <w:jc w:val="center"/>
        </w:trPr>
        <w:tc>
          <w:tcPr>
            <w:tcW w:w="2724" w:type="dxa"/>
            <w:vAlign w:val="center"/>
          </w:tcPr>
          <w:p w14:paraId="4715F96F"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产品全称</w:t>
            </w:r>
          </w:p>
        </w:tc>
        <w:tc>
          <w:tcPr>
            <w:tcW w:w="6094" w:type="dxa"/>
            <w:vAlign w:val="center"/>
          </w:tcPr>
          <w:p w14:paraId="310EF9A2" w14:textId="77777777" w:rsidR="00FD04DE" w:rsidRDefault="0068117A" w:rsidP="00651A79">
            <w:pPr>
              <w:spacing w:beforeLines="20" w:before="48" w:afterLines="20" w:after="48"/>
              <w:jc w:val="left"/>
              <w:rPr>
                <w:rFonts w:ascii="方正仿宋简体" w:eastAsia="方正仿宋简体"/>
                <w:sz w:val="24"/>
                <w:szCs w:val="24"/>
              </w:rPr>
            </w:pPr>
            <w:proofErr w:type="gramStart"/>
            <w:r>
              <w:rPr>
                <w:rFonts w:ascii="方正仿宋简体" w:eastAsia="方正仿宋简体" w:hint="eastAsia"/>
                <w:sz w:val="24"/>
                <w:szCs w:val="24"/>
              </w:rPr>
              <w:t>南银理财添瑞</w:t>
            </w:r>
            <w:proofErr w:type="gramEnd"/>
            <w:r>
              <w:rPr>
                <w:rFonts w:ascii="方正仿宋简体" w:eastAsia="方正仿宋简体" w:hint="eastAsia"/>
                <w:sz w:val="24"/>
                <w:szCs w:val="24"/>
              </w:rPr>
              <w:t>日日聚宝7号现金</w:t>
            </w:r>
            <w:proofErr w:type="gramStart"/>
            <w:r>
              <w:rPr>
                <w:rFonts w:ascii="方正仿宋简体" w:eastAsia="方正仿宋简体" w:hint="eastAsia"/>
                <w:sz w:val="24"/>
                <w:szCs w:val="24"/>
              </w:rPr>
              <w:t>管理类公募</w:t>
            </w:r>
            <w:proofErr w:type="gramEnd"/>
            <w:r>
              <w:rPr>
                <w:rFonts w:ascii="方正仿宋简体" w:eastAsia="方正仿宋简体" w:hint="eastAsia"/>
                <w:sz w:val="24"/>
                <w:szCs w:val="24"/>
              </w:rPr>
              <w:t>人民币理财产品</w:t>
            </w:r>
          </w:p>
        </w:tc>
      </w:tr>
      <w:tr w:rsidR="00FD04DE" w14:paraId="47CE28AF" w14:textId="77777777">
        <w:trPr>
          <w:jc w:val="center"/>
        </w:trPr>
        <w:tc>
          <w:tcPr>
            <w:tcW w:w="2724" w:type="dxa"/>
            <w:vAlign w:val="center"/>
          </w:tcPr>
          <w:p w14:paraId="5006A67F"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产品登记编码</w:t>
            </w:r>
          </w:p>
        </w:tc>
        <w:tc>
          <w:tcPr>
            <w:tcW w:w="6094" w:type="dxa"/>
            <w:vAlign w:val="center"/>
          </w:tcPr>
          <w:p w14:paraId="2A2E2856"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Z7003224000030（投资者可依据该编码在中国</w:t>
            </w:r>
            <w:proofErr w:type="gramStart"/>
            <w:r>
              <w:rPr>
                <w:rFonts w:ascii="方正仿宋简体" w:eastAsia="方正仿宋简体" w:hint="eastAsia"/>
                <w:sz w:val="24"/>
                <w:szCs w:val="24"/>
              </w:rPr>
              <w:t>理财网</w:t>
            </w:r>
            <w:proofErr w:type="gramEnd"/>
            <w:r>
              <w:rPr>
                <w:rFonts w:ascii="方正仿宋简体" w:eastAsia="方正仿宋简体" w:hint="eastAsia"/>
                <w:sz w:val="24"/>
                <w:szCs w:val="24"/>
              </w:rPr>
              <w:t>www.chinawealth.com.cn查询理财产品相关信息）</w:t>
            </w:r>
          </w:p>
        </w:tc>
      </w:tr>
      <w:tr w:rsidR="00FD04DE" w14:paraId="6D814029" w14:textId="77777777">
        <w:trPr>
          <w:jc w:val="center"/>
        </w:trPr>
        <w:tc>
          <w:tcPr>
            <w:tcW w:w="2724" w:type="dxa"/>
            <w:vAlign w:val="center"/>
          </w:tcPr>
          <w:p w14:paraId="4AFB9951"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产品运作方式</w:t>
            </w:r>
          </w:p>
        </w:tc>
        <w:tc>
          <w:tcPr>
            <w:tcW w:w="6094" w:type="dxa"/>
            <w:vAlign w:val="center"/>
          </w:tcPr>
          <w:p w14:paraId="313586CD"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开放式净值型</w:t>
            </w:r>
          </w:p>
        </w:tc>
      </w:tr>
      <w:tr w:rsidR="00FD04DE" w14:paraId="2F495CC2" w14:textId="77777777">
        <w:trPr>
          <w:jc w:val="center"/>
        </w:trPr>
        <w:tc>
          <w:tcPr>
            <w:tcW w:w="2724" w:type="dxa"/>
            <w:vAlign w:val="center"/>
          </w:tcPr>
          <w:p w14:paraId="12874EFF"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产品成立日</w:t>
            </w:r>
          </w:p>
        </w:tc>
        <w:tc>
          <w:tcPr>
            <w:tcW w:w="6094" w:type="dxa"/>
            <w:vAlign w:val="center"/>
          </w:tcPr>
          <w:p w14:paraId="6BEE47E7"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2024年01月18日</w:t>
            </w:r>
          </w:p>
        </w:tc>
      </w:tr>
      <w:tr w:rsidR="00FD04DE" w14:paraId="71A6A387" w14:textId="77777777">
        <w:trPr>
          <w:jc w:val="center"/>
        </w:trPr>
        <w:tc>
          <w:tcPr>
            <w:tcW w:w="2724" w:type="dxa"/>
            <w:vAlign w:val="center"/>
          </w:tcPr>
          <w:p w14:paraId="2C78516C"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094" w:type="dxa"/>
            <w:vAlign w:val="center"/>
          </w:tcPr>
          <w:p w14:paraId="1ED878FF"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2,374,007,474.00份</w:t>
            </w:r>
          </w:p>
        </w:tc>
      </w:tr>
      <w:tr w:rsidR="00FD04DE" w14:paraId="7CEF2899" w14:textId="77777777">
        <w:trPr>
          <w:jc w:val="center"/>
        </w:trPr>
        <w:tc>
          <w:tcPr>
            <w:tcW w:w="2724" w:type="dxa"/>
            <w:vAlign w:val="center"/>
          </w:tcPr>
          <w:p w14:paraId="20DC6A88"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6094" w:type="dxa"/>
            <w:vAlign w:val="center"/>
          </w:tcPr>
          <w:p w14:paraId="42EF99E1"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sz w:val="24"/>
                <w:szCs w:val="24"/>
              </w:rPr>
              <w:t>103.40%</w:t>
            </w:r>
          </w:p>
        </w:tc>
      </w:tr>
      <w:tr w:rsidR="00FD04DE" w14:paraId="3207F1EA" w14:textId="77777777">
        <w:trPr>
          <w:jc w:val="center"/>
        </w:trPr>
        <w:tc>
          <w:tcPr>
            <w:tcW w:w="2724" w:type="dxa"/>
            <w:vAlign w:val="center"/>
          </w:tcPr>
          <w:p w14:paraId="7DF569F1"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合作机构</w:t>
            </w:r>
          </w:p>
        </w:tc>
        <w:tc>
          <w:tcPr>
            <w:tcW w:w="6094" w:type="dxa"/>
            <w:vAlign w:val="center"/>
          </w:tcPr>
          <w:p w14:paraId="4AEE4633"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中诚信托有限责任公司,</w:t>
            </w:r>
            <w:proofErr w:type="gramStart"/>
            <w:r>
              <w:rPr>
                <w:rFonts w:ascii="方正仿宋简体" w:eastAsia="方正仿宋简体" w:hint="eastAsia"/>
                <w:sz w:val="24"/>
                <w:szCs w:val="24"/>
              </w:rPr>
              <w:t>华润深国</w:t>
            </w:r>
            <w:proofErr w:type="gramEnd"/>
            <w:r>
              <w:rPr>
                <w:rFonts w:ascii="方正仿宋简体" w:eastAsia="方正仿宋简体" w:hint="eastAsia"/>
                <w:sz w:val="24"/>
                <w:szCs w:val="24"/>
              </w:rPr>
              <w:t>投信托有限公司,陆家</w:t>
            </w:r>
            <w:proofErr w:type="gramStart"/>
            <w:r>
              <w:rPr>
                <w:rFonts w:ascii="方正仿宋简体" w:eastAsia="方正仿宋简体" w:hint="eastAsia"/>
                <w:sz w:val="24"/>
                <w:szCs w:val="24"/>
              </w:rPr>
              <w:t>嘴国际</w:t>
            </w:r>
            <w:proofErr w:type="gramEnd"/>
            <w:r>
              <w:rPr>
                <w:rFonts w:ascii="方正仿宋简体" w:eastAsia="方正仿宋简体" w:hint="eastAsia"/>
                <w:sz w:val="24"/>
                <w:szCs w:val="24"/>
              </w:rPr>
              <w:t>信托有限公司</w:t>
            </w:r>
          </w:p>
        </w:tc>
      </w:tr>
      <w:tr w:rsidR="00FD04DE" w14:paraId="2E877884" w14:textId="77777777">
        <w:trPr>
          <w:jc w:val="center"/>
        </w:trPr>
        <w:tc>
          <w:tcPr>
            <w:tcW w:w="2724" w:type="dxa"/>
            <w:vAlign w:val="center"/>
          </w:tcPr>
          <w:p w14:paraId="75D85A3F"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产品管理人</w:t>
            </w:r>
          </w:p>
        </w:tc>
        <w:tc>
          <w:tcPr>
            <w:tcW w:w="6094" w:type="dxa"/>
            <w:vAlign w:val="center"/>
          </w:tcPr>
          <w:p w14:paraId="080B2497" w14:textId="77777777" w:rsidR="00FD04DE" w:rsidRDefault="0068117A" w:rsidP="00651A79">
            <w:pPr>
              <w:spacing w:beforeLines="20" w:before="48" w:afterLines="20" w:after="48"/>
              <w:jc w:val="left"/>
              <w:rPr>
                <w:rFonts w:ascii="方正仿宋简体" w:eastAsia="方正仿宋简体"/>
                <w:sz w:val="24"/>
                <w:szCs w:val="24"/>
              </w:rPr>
            </w:pPr>
            <w:proofErr w:type="gramStart"/>
            <w:r>
              <w:rPr>
                <w:rFonts w:ascii="方正仿宋简体" w:eastAsia="方正仿宋简体" w:hint="eastAsia"/>
                <w:sz w:val="24"/>
                <w:szCs w:val="24"/>
              </w:rPr>
              <w:t>南银理财</w:t>
            </w:r>
            <w:proofErr w:type="gramEnd"/>
            <w:r>
              <w:rPr>
                <w:rFonts w:ascii="方正仿宋简体" w:eastAsia="方正仿宋简体" w:hint="eastAsia"/>
                <w:sz w:val="24"/>
                <w:szCs w:val="24"/>
              </w:rPr>
              <w:t>有限责任公司</w:t>
            </w:r>
          </w:p>
        </w:tc>
      </w:tr>
      <w:tr w:rsidR="00FD04DE" w14:paraId="4AC7590F" w14:textId="77777777">
        <w:trPr>
          <w:jc w:val="center"/>
        </w:trPr>
        <w:tc>
          <w:tcPr>
            <w:tcW w:w="2724" w:type="dxa"/>
            <w:vAlign w:val="center"/>
          </w:tcPr>
          <w:p w14:paraId="1E273A9E"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产品托管人</w:t>
            </w:r>
          </w:p>
        </w:tc>
        <w:tc>
          <w:tcPr>
            <w:tcW w:w="6094" w:type="dxa"/>
            <w:vAlign w:val="center"/>
          </w:tcPr>
          <w:p w14:paraId="620090FE" w14:textId="77777777" w:rsidR="00FD04DE" w:rsidRDefault="0068117A" w:rsidP="00651A79">
            <w:pPr>
              <w:spacing w:beforeLines="20" w:before="48" w:afterLines="20" w:after="48"/>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14:paraId="5CB066CB" w14:textId="77777777" w:rsidR="00FD04DE" w:rsidRDefault="00FD04DE" w:rsidP="00651A79">
      <w:pPr>
        <w:spacing w:before="240" w:afterLines="30" w:after="72" w:line="360" w:lineRule="auto"/>
        <w:rPr>
          <w:rFonts w:ascii="方正仿宋简体" w:eastAsia="方正仿宋简体" w:hAnsi="Calibri"/>
          <w:sz w:val="24"/>
          <w:szCs w:val="24"/>
        </w:rPr>
      </w:pPr>
    </w:p>
    <w:p w14:paraId="76646B7C"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14:paraId="057C69EA"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2.1 主要财务指标</w:t>
      </w:r>
    </w:p>
    <w:p w14:paraId="10F7DED9" w14:textId="77777777" w:rsidR="00FD04DE" w:rsidRDefault="0068117A" w:rsidP="00651A79">
      <w:pPr>
        <w:spacing w:before="240" w:afterLines="30" w:after="72"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271"/>
        <w:gridCol w:w="2693"/>
        <w:gridCol w:w="1563"/>
        <w:gridCol w:w="1556"/>
        <w:gridCol w:w="1819"/>
      </w:tblGrid>
      <w:tr w:rsidR="00FD04DE" w14:paraId="464D2E3B" w14:textId="77777777">
        <w:trPr>
          <w:jc w:val="center"/>
        </w:trPr>
        <w:tc>
          <w:tcPr>
            <w:tcW w:w="1271" w:type="dxa"/>
            <w:vMerge w:val="restart"/>
            <w:vAlign w:val="center"/>
          </w:tcPr>
          <w:p w14:paraId="102CDE16"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631" w:type="dxa"/>
            <w:gridSpan w:val="4"/>
            <w:vAlign w:val="center"/>
          </w:tcPr>
          <w:p w14:paraId="2450AEC3"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FD04DE" w14:paraId="07358AB8" w14:textId="77777777">
        <w:trPr>
          <w:trHeight w:val="835"/>
          <w:jc w:val="center"/>
        </w:trPr>
        <w:tc>
          <w:tcPr>
            <w:tcW w:w="1271" w:type="dxa"/>
            <w:vMerge/>
            <w:vAlign w:val="center"/>
          </w:tcPr>
          <w:p w14:paraId="19F35A8A" w14:textId="77777777" w:rsidR="00FD04DE" w:rsidRDefault="00FD04DE" w:rsidP="00651A79">
            <w:pPr>
              <w:spacing w:beforeLines="20" w:before="48" w:afterLines="20" w:after="48"/>
              <w:jc w:val="center"/>
              <w:rPr>
                <w:rFonts w:ascii="方正仿宋简体" w:eastAsia="方正仿宋简体"/>
                <w:sz w:val="24"/>
                <w:szCs w:val="24"/>
                <w:shd w:val="clear" w:color="auto" w:fill="FFFFFF"/>
              </w:rPr>
            </w:pPr>
          </w:p>
        </w:tc>
        <w:tc>
          <w:tcPr>
            <w:tcW w:w="2693" w:type="dxa"/>
            <w:vAlign w:val="center"/>
          </w:tcPr>
          <w:p w14:paraId="27E51017"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w:t>
            </w:r>
            <w:proofErr w:type="gramStart"/>
            <w:r>
              <w:rPr>
                <w:rFonts w:ascii="方正仿宋简体" w:eastAsia="方正仿宋简体" w:hint="eastAsia"/>
                <w:sz w:val="24"/>
                <w:szCs w:val="24"/>
                <w:shd w:val="clear" w:color="auto" w:fill="FFFFFF"/>
              </w:rPr>
              <w:t>日资产</w:t>
            </w:r>
            <w:proofErr w:type="gramEnd"/>
            <w:r>
              <w:rPr>
                <w:rFonts w:ascii="方正仿宋简体" w:eastAsia="方正仿宋简体" w:hint="eastAsia"/>
                <w:sz w:val="24"/>
                <w:szCs w:val="24"/>
                <w:shd w:val="clear" w:color="auto" w:fill="FFFFFF"/>
              </w:rPr>
              <w:t>净值</w:t>
            </w:r>
          </w:p>
        </w:tc>
        <w:tc>
          <w:tcPr>
            <w:tcW w:w="1563" w:type="dxa"/>
            <w:vAlign w:val="center"/>
          </w:tcPr>
          <w:p w14:paraId="19A6FF6D"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556" w:type="dxa"/>
            <w:vAlign w:val="center"/>
          </w:tcPr>
          <w:p w14:paraId="36A1AD7F"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819" w:type="dxa"/>
            <w:vAlign w:val="center"/>
          </w:tcPr>
          <w:p w14:paraId="7389C41D"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rsidR="005574DF" w14:paraId="21681289" w14:textId="77777777">
        <w:trPr>
          <w:jc w:val="center"/>
        </w:trPr>
        <w:tc>
          <w:tcPr>
            <w:tcW w:w="1271" w:type="dxa"/>
            <w:vAlign w:val="center"/>
          </w:tcPr>
          <w:p w14:paraId="2C1763D3"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A20008</w:t>
            </w:r>
          </w:p>
        </w:tc>
        <w:tc>
          <w:tcPr>
            <w:tcW w:w="2693" w:type="dxa"/>
            <w:vAlign w:val="center"/>
          </w:tcPr>
          <w:p w14:paraId="185D6B39"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752,295,259.13</w:t>
            </w:r>
          </w:p>
        </w:tc>
        <w:tc>
          <w:tcPr>
            <w:tcW w:w="1563" w:type="dxa"/>
            <w:vAlign w:val="center"/>
          </w:tcPr>
          <w:p w14:paraId="52E72DD1"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09D5890A"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restart"/>
            <w:vAlign w:val="center"/>
          </w:tcPr>
          <w:p w14:paraId="5FF6FD80"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0.00</w:t>
            </w:r>
          </w:p>
        </w:tc>
      </w:tr>
      <w:tr w:rsidR="005574DF" w14:paraId="162BCE2B" w14:textId="77777777">
        <w:trPr>
          <w:jc w:val="center"/>
        </w:trPr>
        <w:tc>
          <w:tcPr>
            <w:tcW w:w="1271" w:type="dxa"/>
            <w:vAlign w:val="center"/>
          </w:tcPr>
          <w:p w14:paraId="309BCEFD"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A21008</w:t>
            </w:r>
          </w:p>
        </w:tc>
        <w:tc>
          <w:tcPr>
            <w:tcW w:w="2693" w:type="dxa"/>
            <w:vAlign w:val="center"/>
          </w:tcPr>
          <w:p w14:paraId="646082BF"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217,423,809.35</w:t>
            </w:r>
          </w:p>
        </w:tc>
        <w:tc>
          <w:tcPr>
            <w:tcW w:w="1563" w:type="dxa"/>
            <w:vAlign w:val="center"/>
          </w:tcPr>
          <w:p w14:paraId="6584B41F"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2EFF0831"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ign w:val="center"/>
          </w:tcPr>
          <w:p w14:paraId="08EA0E1B" w14:textId="77777777" w:rsidR="005574DF" w:rsidRDefault="005574DF">
            <w:pPr>
              <w:spacing w:beforeLines="20" w:before="48" w:afterLines="20" w:after="48"/>
              <w:jc w:val="center"/>
              <w:textAlignment w:val="center"/>
              <w:rPr>
                <w:rFonts w:ascii="方正仿宋简体" w:eastAsia="方正仿宋简体"/>
                <w:sz w:val="24"/>
                <w:szCs w:val="24"/>
                <w:shd w:val="clear" w:color="auto" w:fill="FFFFFF"/>
              </w:rPr>
            </w:pPr>
          </w:p>
        </w:tc>
      </w:tr>
      <w:tr w:rsidR="005574DF" w14:paraId="419FE934" w14:textId="77777777">
        <w:trPr>
          <w:jc w:val="center"/>
        </w:trPr>
        <w:tc>
          <w:tcPr>
            <w:tcW w:w="1271" w:type="dxa"/>
            <w:vAlign w:val="center"/>
          </w:tcPr>
          <w:p w14:paraId="29910F7B"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A23008</w:t>
            </w:r>
          </w:p>
        </w:tc>
        <w:tc>
          <w:tcPr>
            <w:tcW w:w="2693" w:type="dxa"/>
            <w:vAlign w:val="center"/>
          </w:tcPr>
          <w:p w14:paraId="3D0B9C94"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64,216,216.90</w:t>
            </w:r>
          </w:p>
        </w:tc>
        <w:tc>
          <w:tcPr>
            <w:tcW w:w="1563" w:type="dxa"/>
            <w:vAlign w:val="center"/>
          </w:tcPr>
          <w:p w14:paraId="0182AAC4"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0CDDE23F"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ign w:val="center"/>
          </w:tcPr>
          <w:p w14:paraId="373D317A" w14:textId="77777777" w:rsidR="005574DF" w:rsidRDefault="005574DF">
            <w:pPr>
              <w:spacing w:beforeLines="20" w:before="48" w:afterLines="20" w:after="48"/>
              <w:jc w:val="center"/>
              <w:textAlignment w:val="center"/>
              <w:rPr>
                <w:rFonts w:ascii="方正仿宋简体" w:eastAsia="方正仿宋简体"/>
                <w:sz w:val="24"/>
                <w:szCs w:val="24"/>
                <w:shd w:val="clear" w:color="auto" w:fill="FFFFFF"/>
              </w:rPr>
            </w:pPr>
          </w:p>
        </w:tc>
      </w:tr>
      <w:tr w:rsidR="005574DF" w14:paraId="7277B94C" w14:textId="77777777">
        <w:trPr>
          <w:jc w:val="center"/>
        </w:trPr>
        <w:tc>
          <w:tcPr>
            <w:tcW w:w="1271" w:type="dxa"/>
            <w:vAlign w:val="center"/>
          </w:tcPr>
          <w:p w14:paraId="2EC243D0"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lastRenderedPageBreak/>
              <w:t>A24008</w:t>
            </w:r>
          </w:p>
        </w:tc>
        <w:tc>
          <w:tcPr>
            <w:tcW w:w="2693" w:type="dxa"/>
            <w:vAlign w:val="center"/>
          </w:tcPr>
          <w:p w14:paraId="6DB046D2"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317,559,525.42</w:t>
            </w:r>
          </w:p>
        </w:tc>
        <w:tc>
          <w:tcPr>
            <w:tcW w:w="1563" w:type="dxa"/>
            <w:vAlign w:val="center"/>
          </w:tcPr>
          <w:p w14:paraId="1E99D257"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0E270463"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ign w:val="center"/>
          </w:tcPr>
          <w:p w14:paraId="09E006F6" w14:textId="77777777" w:rsidR="005574DF" w:rsidRDefault="005574DF">
            <w:pPr>
              <w:spacing w:beforeLines="20" w:before="48" w:afterLines="20" w:after="48"/>
              <w:jc w:val="center"/>
              <w:textAlignment w:val="center"/>
              <w:rPr>
                <w:rFonts w:ascii="方正仿宋简体" w:eastAsia="方正仿宋简体"/>
                <w:sz w:val="24"/>
                <w:szCs w:val="24"/>
                <w:shd w:val="clear" w:color="auto" w:fill="FFFFFF"/>
              </w:rPr>
            </w:pPr>
          </w:p>
        </w:tc>
      </w:tr>
      <w:tr w:rsidR="005574DF" w14:paraId="5A18F01C" w14:textId="77777777">
        <w:trPr>
          <w:jc w:val="center"/>
        </w:trPr>
        <w:tc>
          <w:tcPr>
            <w:tcW w:w="1271" w:type="dxa"/>
            <w:vAlign w:val="center"/>
          </w:tcPr>
          <w:p w14:paraId="760C7FB5"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A25008</w:t>
            </w:r>
          </w:p>
        </w:tc>
        <w:tc>
          <w:tcPr>
            <w:tcW w:w="2693" w:type="dxa"/>
            <w:vAlign w:val="center"/>
          </w:tcPr>
          <w:p w14:paraId="588C408F"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1,012,129,633.17</w:t>
            </w:r>
          </w:p>
        </w:tc>
        <w:tc>
          <w:tcPr>
            <w:tcW w:w="1563" w:type="dxa"/>
            <w:vAlign w:val="center"/>
          </w:tcPr>
          <w:p w14:paraId="179586E4"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5E64A39B"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ign w:val="center"/>
          </w:tcPr>
          <w:p w14:paraId="55E555C9" w14:textId="77777777" w:rsidR="005574DF" w:rsidRDefault="005574DF">
            <w:pPr>
              <w:spacing w:beforeLines="20" w:before="48" w:afterLines="20" w:after="48"/>
              <w:jc w:val="center"/>
              <w:textAlignment w:val="center"/>
              <w:rPr>
                <w:rFonts w:ascii="方正仿宋简体" w:eastAsia="方正仿宋简体"/>
                <w:sz w:val="24"/>
                <w:szCs w:val="24"/>
                <w:shd w:val="clear" w:color="auto" w:fill="FFFFFF"/>
              </w:rPr>
            </w:pPr>
          </w:p>
        </w:tc>
      </w:tr>
      <w:tr w:rsidR="005574DF" w14:paraId="73A1FC9A" w14:textId="77777777">
        <w:trPr>
          <w:jc w:val="center"/>
        </w:trPr>
        <w:tc>
          <w:tcPr>
            <w:tcW w:w="1271" w:type="dxa"/>
            <w:vAlign w:val="center"/>
          </w:tcPr>
          <w:p w14:paraId="09C05830"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A26008</w:t>
            </w:r>
          </w:p>
        </w:tc>
        <w:tc>
          <w:tcPr>
            <w:tcW w:w="2693" w:type="dxa"/>
            <w:vAlign w:val="center"/>
          </w:tcPr>
          <w:p w14:paraId="3303E023"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10,383,030.03</w:t>
            </w:r>
          </w:p>
        </w:tc>
        <w:tc>
          <w:tcPr>
            <w:tcW w:w="1563" w:type="dxa"/>
            <w:vAlign w:val="center"/>
          </w:tcPr>
          <w:p w14:paraId="36BA691F"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556" w:type="dxa"/>
            <w:vAlign w:val="center"/>
          </w:tcPr>
          <w:p w14:paraId="285F8BE7" w14:textId="77777777" w:rsidR="005574DF" w:rsidRDefault="00C44011">
            <w:pPr>
              <w:spacing w:beforeLines="20" w:before="48" w:afterLines="20" w:after="48"/>
              <w:jc w:val="center"/>
              <w:textAlignment w:val="center"/>
              <w:rPr>
                <w:rFonts w:ascii="方正仿宋简体" w:eastAsia="方正仿宋简体"/>
                <w:sz w:val="24"/>
                <w:szCs w:val="24"/>
                <w:shd w:val="clear" w:color="auto" w:fill="FFFFFF"/>
              </w:rPr>
            </w:pPr>
            <w:r>
              <w:rPr>
                <w:rFonts w:ascii="方正仿宋简体" w:eastAsia="方正仿宋简体" w:hAnsi="方正仿宋简体" w:cs="方正仿宋简体"/>
                <w:sz w:val="24"/>
              </w:rPr>
              <w:t>1.0000</w:t>
            </w:r>
          </w:p>
        </w:tc>
        <w:tc>
          <w:tcPr>
            <w:tcW w:w="1819" w:type="dxa"/>
            <w:vMerge/>
            <w:vAlign w:val="center"/>
          </w:tcPr>
          <w:p w14:paraId="7486D4E3" w14:textId="77777777" w:rsidR="005574DF" w:rsidRDefault="005574DF">
            <w:pPr>
              <w:spacing w:beforeLines="20" w:before="48" w:afterLines="20" w:after="48"/>
              <w:jc w:val="center"/>
              <w:textAlignment w:val="center"/>
              <w:rPr>
                <w:rFonts w:ascii="方正仿宋简体" w:eastAsia="方正仿宋简体"/>
                <w:sz w:val="24"/>
                <w:szCs w:val="24"/>
                <w:shd w:val="clear" w:color="auto" w:fill="FFFFFF"/>
              </w:rPr>
            </w:pPr>
          </w:p>
        </w:tc>
      </w:tr>
    </w:tbl>
    <w:p w14:paraId="28648EC4"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t>注：产品净值可能存在未扣除管理人及投资合作机构业绩报酬、赎回费等费用（如有）的情况，实际收益以兑付为准。</w:t>
      </w:r>
    </w:p>
    <w:p w14:paraId="34C5C18E"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219F41F3"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14:paraId="75B1C730"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14:paraId="40337A51"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t>  二季度外部压力上升，推动</w:t>
      </w:r>
      <w:proofErr w:type="gramStart"/>
      <w:r>
        <w:rPr>
          <w:rFonts w:ascii="方正仿宋简体" w:eastAsia="方正仿宋简体" w:hint="eastAsia"/>
          <w:sz w:val="24"/>
          <w:szCs w:val="24"/>
        </w:rPr>
        <w:t>宽货币</w:t>
      </w:r>
      <w:proofErr w:type="gramEnd"/>
      <w:r>
        <w:rPr>
          <w:rFonts w:ascii="方正仿宋简体" w:eastAsia="方正仿宋简体" w:hint="eastAsia"/>
          <w:sz w:val="24"/>
          <w:szCs w:val="24"/>
        </w:rPr>
        <w:t>政策落地，债市收益率整体下行。4月初美国“对等关税”超预期落地，引发市场风险偏好调整，</w:t>
      </w:r>
      <w:proofErr w:type="gramStart"/>
      <w:r>
        <w:rPr>
          <w:rFonts w:ascii="方正仿宋简体" w:eastAsia="方正仿宋简体" w:hint="eastAsia"/>
          <w:sz w:val="24"/>
          <w:szCs w:val="24"/>
        </w:rPr>
        <w:t>宽货币</w:t>
      </w:r>
      <w:proofErr w:type="gramEnd"/>
      <w:r>
        <w:rPr>
          <w:rFonts w:ascii="方正仿宋简体" w:eastAsia="方正仿宋简体" w:hint="eastAsia"/>
          <w:sz w:val="24"/>
          <w:szCs w:val="24"/>
        </w:rPr>
        <w:t>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r>
      <w:r>
        <w:rPr>
          <w:rFonts w:ascii="方正仿宋简体" w:eastAsia="方正仿宋简体" w:hint="eastAsia"/>
          <w:sz w:val="24"/>
          <w:szCs w:val="24"/>
        </w:rPr>
        <w:br w:type="textWrapping" w:clear="all"/>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r>
      <w:r>
        <w:rPr>
          <w:rFonts w:ascii="方正仿宋简体" w:eastAsia="方正仿宋简体" w:hint="eastAsia"/>
          <w:sz w:val="24"/>
          <w:szCs w:val="24"/>
        </w:rPr>
        <w:br w:type="textWrapping" w:clear="all"/>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p>
    <w:p w14:paraId="11E85543"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14:paraId="191BAB08"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lastRenderedPageBreak/>
        <w:t>  下阶段产品将继续保持稳健的投资风格，在风险可控的前提下灵活运用杠杆。同时关注市场各关键时点资金波动情况，做好流动性预判和资产到期分布安排，提前做好应对方案，防范流动性风险。</w:t>
      </w:r>
    </w:p>
    <w:p w14:paraId="557D1484"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14:paraId="3A88F826" w14:textId="77777777" w:rsidR="00FD04DE" w:rsidRDefault="0068117A" w:rsidP="00651A79">
      <w:pPr>
        <w:spacing w:before="240" w:afterLines="3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截至报告期末，本产品A20008份额净值为1.0000元，A21008份额净值为1.0000元，A23008份额净值为1.0000元，A24008份额净值为1.0000元，A25008份额净值为1.0000元，A26008份额净值为1.0000元。</w:t>
      </w:r>
    </w:p>
    <w:p w14:paraId="33A4AEBC"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4FD02F79" w14:textId="77777777" w:rsidR="00FD04DE" w:rsidRDefault="0068117A" w:rsidP="00651A79">
      <w:pPr>
        <w:spacing w:before="240" w:afterLines="30" w:after="72"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14:paraId="00BA123F"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14:paraId="7D5AB3D4"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14:paraId="1BB1CE05"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14:paraId="0F395A87"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14:paraId="2652B62D"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lastRenderedPageBreak/>
        <w:t>4.3 托管人对本报告期内报告中财务信息等内容的真实、准确和完整发表意见</w:t>
      </w:r>
    </w:p>
    <w:p w14:paraId="4E239A9D" w14:textId="77777777" w:rsidR="00FD04DE" w:rsidRDefault="0068117A" w:rsidP="00651A79">
      <w:pPr>
        <w:spacing w:before="240" w:afterLines="30" w:after="72" w:line="360" w:lineRule="auto"/>
        <w:rPr>
          <w:rFonts w:ascii="方正仿宋简体" w:eastAsia="方正仿宋简体"/>
          <w:sz w:val="24"/>
          <w:szCs w:val="24"/>
        </w:rPr>
      </w:pPr>
      <w:r>
        <w:rPr>
          <w:rFonts w:ascii="方正仿宋简体" w:eastAsia="方正仿宋简体" w:hint="eastAsia"/>
          <w:sz w:val="24"/>
          <w:szCs w:val="24"/>
        </w:rPr>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14:paraId="46EF50B3" w14:textId="77777777" w:rsidR="00FD04DE" w:rsidRDefault="00FD04DE" w:rsidP="00651A79">
      <w:pPr>
        <w:spacing w:before="240" w:afterLines="30" w:after="72" w:line="360" w:lineRule="auto"/>
        <w:rPr>
          <w:rFonts w:ascii="方正仿宋简体" w:eastAsia="方正仿宋简体"/>
          <w:sz w:val="24"/>
          <w:szCs w:val="24"/>
        </w:rPr>
      </w:pPr>
    </w:p>
    <w:p w14:paraId="65F7D0CC"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14:paraId="6F11FFEB" w14:textId="77777777" w:rsidR="00FD04DE" w:rsidRDefault="0068117A" w:rsidP="00651A79">
      <w:pPr>
        <w:spacing w:before="240" w:afterLines="30" w:after="72"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61"/>
        <w:gridCol w:w="3004"/>
        <w:gridCol w:w="3292"/>
      </w:tblGrid>
      <w:tr w:rsidR="00FD04DE" w14:paraId="58AAD336" w14:textId="77777777">
        <w:trPr>
          <w:jc w:val="center"/>
        </w:trPr>
        <w:tc>
          <w:tcPr>
            <w:tcW w:w="745" w:type="dxa"/>
            <w:vAlign w:val="bottom"/>
          </w:tcPr>
          <w:p w14:paraId="2093C419"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14:paraId="5FD6B1F2"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14:paraId="4A7579F7" w14:textId="77777777" w:rsidR="00FD04DE" w:rsidRDefault="0068117A" w:rsidP="00651A79">
            <w:pPr>
              <w:spacing w:beforeLines="20" w:before="48" w:afterLines="20" w:after="48"/>
              <w:jc w:val="center"/>
              <w:rPr>
                <w:rFonts w:ascii="方正仿宋简体" w:eastAsia="方正仿宋简体" w:hAnsiTheme="minorEastAsia"/>
                <w:sz w:val="24"/>
                <w:szCs w:val="24"/>
              </w:rPr>
            </w:pPr>
            <w:proofErr w:type="gramStart"/>
            <w:r>
              <w:rPr>
                <w:rFonts w:ascii="方正仿宋简体" w:eastAsia="方正仿宋简体" w:hAnsiTheme="minorEastAsia" w:hint="eastAsia"/>
                <w:sz w:val="24"/>
                <w:szCs w:val="24"/>
              </w:rPr>
              <w:t>穿透前占总</w:t>
            </w:r>
            <w:proofErr w:type="gramEnd"/>
            <w:r>
              <w:rPr>
                <w:rFonts w:ascii="方正仿宋简体" w:eastAsia="方正仿宋简体" w:hAnsiTheme="minorEastAsia" w:hint="eastAsia"/>
                <w:sz w:val="24"/>
                <w:szCs w:val="24"/>
              </w:rPr>
              <w:t>资产比例</w:t>
            </w:r>
          </w:p>
        </w:tc>
        <w:tc>
          <w:tcPr>
            <w:tcW w:w="3292" w:type="dxa"/>
            <w:vAlign w:val="center"/>
          </w:tcPr>
          <w:p w14:paraId="17D4C589"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FD04DE" w14:paraId="00719DA2" w14:textId="77777777">
        <w:trPr>
          <w:jc w:val="center"/>
        </w:trPr>
        <w:tc>
          <w:tcPr>
            <w:tcW w:w="745" w:type="dxa"/>
            <w:vAlign w:val="bottom"/>
          </w:tcPr>
          <w:p w14:paraId="2C75B288"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14:paraId="3A4EE52C"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14:paraId="7FBA93AF"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14:paraId="33C0A473"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FD04DE" w14:paraId="05D74188" w14:textId="77777777">
        <w:trPr>
          <w:jc w:val="center"/>
        </w:trPr>
        <w:tc>
          <w:tcPr>
            <w:tcW w:w="745" w:type="dxa"/>
            <w:vAlign w:val="bottom"/>
          </w:tcPr>
          <w:p w14:paraId="21B8F8C4"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14:paraId="502C316C"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14:paraId="4A70E6BF"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14:paraId="6850FBC2"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14:paraId="1B570548" w14:textId="77777777">
        <w:trPr>
          <w:jc w:val="center"/>
        </w:trPr>
        <w:tc>
          <w:tcPr>
            <w:tcW w:w="745" w:type="dxa"/>
            <w:vAlign w:val="bottom"/>
          </w:tcPr>
          <w:p w14:paraId="2DF9C225"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14:paraId="6199C0B5"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14:paraId="6282D397"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14:paraId="4FFC4104"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14:paraId="04BB8720" w14:textId="77777777">
        <w:trPr>
          <w:jc w:val="center"/>
        </w:trPr>
        <w:tc>
          <w:tcPr>
            <w:tcW w:w="745" w:type="dxa"/>
            <w:vAlign w:val="bottom"/>
          </w:tcPr>
          <w:p w14:paraId="747251ED"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14:paraId="60BDE8D5"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14:paraId="709A1768"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14:paraId="6280DD6D"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14:paraId="25C7EE6E" w14:textId="77777777">
        <w:trPr>
          <w:jc w:val="center"/>
        </w:trPr>
        <w:tc>
          <w:tcPr>
            <w:tcW w:w="745" w:type="dxa"/>
            <w:vAlign w:val="bottom"/>
          </w:tcPr>
          <w:p w14:paraId="293B9903"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14:paraId="6E69DF61"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14:paraId="6EAB7D87"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14:paraId="43FB9675"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14:paraId="0212C955" w14:textId="77777777" w:rsidR="00FD04DE" w:rsidRDefault="00FD04DE" w:rsidP="00651A79">
      <w:pPr>
        <w:spacing w:before="240" w:afterLines="30" w:after="72" w:line="360" w:lineRule="auto"/>
        <w:rPr>
          <w:rFonts w:ascii="方正仿宋简体" w:eastAsia="方正仿宋简体" w:cs="宋体"/>
          <w:kern w:val="0"/>
          <w:sz w:val="24"/>
          <w:szCs w:val="24"/>
        </w:rPr>
      </w:pPr>
    </w:p>
    <w:p w14:paraId="25C26D6A" w14:textId="77777777" w:rsidR="00FD04DE" w:rsidRDefault="0068117A" w:rsidP="00651A79">
      <w:pPr>
        <w:spacing w:before="240" w:afterLines="30" w:after="72"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62"/>
        <w:gridCol w:w="1575"/>
        <w:gridCol w:w="2721"/>
        <w:gridCol w:w="2059"/>
        <w:gridCol w:w="1785"/>
      </w:tblGrid>
      <w:tr w:rsidR="00FD04DE" w14:paraId="53BC240A" w14:textId="77777777">
        <w:trPr>
          <w:trHeight w:val="870"/>
          <w:jc w:val="center"/>
        </w:trPr>
        <w:tc>
          <w:tcPr>
            <w:tcW w:w="762" w:type="dxa"/>
            <w:vAlign w:val="center"/>
          </w:tcPr>
          <w:p w14:paraId="2EEC4371"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75" w:type="dxa"/>
            <w:vAlign w:val="center"/>
          </w:tcPr>
          <w:p w14:paraId="38E41EEB"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14:paraId="2282E12F"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14:paraId="12058A50"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14:paraId="7997E86A"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rsidR="005574DF" w14:paraId="41A92C3B" w14:textId="77777777">
        <w:trPr>
          <w:trHeight w:val="300"/>
          <w:jc w:val="center"/>
        </w:trPr>
        <w:tc>
          <w:tcPr>
            <w:tcW w:w="762" w:type="dxa"/>
            <w:shd w:val="clear" w:color="auto" w:fill="auto"/>
            <w:vAlign w:val="center"/>
          </w:tcPr>
          <w:p w14:paraId="73BF8572"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w:t>
            </w:r>
          </w:p>
        </w:tc>
        <w:tc>
          <w:tcPr>
            <w:tcW w:w="1575" w:type="dxa"/>
            <w:shd w:val="clear" w:color="auto" w:fill="auto"/>
            <w:vAlign w:val="center"/>
          </w:tcPr>
          <w:p w14:paraId="156F633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ZJQTT202309130003</w:t>
            </w:r>
          </w:p>
        </w:tc>
        <w:tc>
          <w:tcPr>
            <w:tcW w:w="2721" w:type="dxa"/>
            <w:shd w:val="clear" w:color="000000" w:fill="FFFFFF"/>
            <w:vAlign w:val="center"/>
          </w:tcPr>
          <w:p w14:paraId="6D3F330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华润信托</w:t>
            </w:r>
            <w:proofErr w:type="gramStart"/>
            <w:r>
              <w:rPr>
                <w:rFonts w:ascii="方正仿宋简体" w:eastAsia="方正仿宋简体" w:hAnsi="方正仿宋简体" w:cs="方正仿宋简体"/>
                <w:sz w:val="24"/>
              </w:rPr>
              <w:t>鑫瑞日享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w:t>
            </w:r>
            <w:proofErr w:type="gramEnd"/>
            <w:r>
              <w:rPr>
                <w:rFonts w:ascii="方正仿宋简体" w:eastAsia="方正仿宋简体" w:hAnsi="方正仿宋简体" w:cs="方正仿宋简体"/>
                <w:sz w:val="24"/>
              </w:rPr>
              <w:t>集合资金信托计划</w:t>
            </w:r>
          </w:p>
        </w:tc>
        <w:tc>
          <w:tcPr>
            <w:tcW w:w="2059" w:type="dxa"/>
            <w:shd w:val="clear" w:color="000000" w:fill="FFFFFF"/>
            <w:vAlign w:val="center"/>
          </w:tcPr>
          <w:p w14:paraId="2C95E79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544,095,093.21</w:t>
            </w:r>
          </w:p>
        </w:tc>
        <w:tc>
          <w:tcPr>
            <w:tcW w:w="1785" w:type="dxa"/>
            <w:shd w:val="clear" w:color="000000" w:fill="FFFFFF"/>
            <w:vAlign w:val="center"/>
          </w:tcPr>
          <w:p w14:paraId="0DE2677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22.92</w:t>
            </w:r>
          </w:p>
        </w:tc>
      </w:tr>
      <w:tr w:rsidR="005574DF" w14:paraId="2DA5F2ED" w14:textId="77777777">
        <w:trPr>
          <w:trHeight w:val="300"/>
          <w:jc w:val="center"/>
        </w:trPr>
        <w:tc>
          <w:tcPr>
            <w:tcW w:w="762" w:type="dxa"/>
            <w:shd w:val="clear" w:color="auto" w:fill="auto"/>
            <w:vAlign w:val="center"/>
          </w:tcPr>
          <w:p w14:paraId="1212BD0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w:t>
            </w:r>
          </w:p>
        </w:tc>
        <w:tc>
          <w:tcPr>
            <w:tcW w:w="1575" w:type="dxa"/>
            <w:shd w:val="clear" w:color="auto" w:fill="auto"/>
            <w:vAlign w:val="center"/>
          </w:tcPr>
          <w:p w14:paraId="73E9CCF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ZJQTT202305230001</w:t>
            </w:r>
          </w:p>
        </w:tc>
        <w:tc>
          <w:tcPr>
            <w:tcW w:w="2721" w:type="dxa"/>
            <w:shd w:val="clear" w:color="000000" w:fill="FFFFFF"/>
            <w:vAlign w:val="center"/>
          </w:tcPr>
          <w:p w14:paraId="6B6823D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华润信托</w:t>
            </w:r>
            <w:proofErr w:type="gramStart"/>
            <w:r>
              <w:rPr>
                <w:rFonts w:ascii="方正仿宋简体" w:eastAsia="方正仿宋简体" w:hAnsi="方正仿宋简体" w:cs="方正仿宋简体"/>
                <w:sz w:val="24"/>
              </w:rPr>
              <w:t>鑫瑞日享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w:t>
            </w:r>
            <w:proofErr w:type="gramEnd"/>
            <w:r>
              <w:rPr>
                <w:rFonts w:ascii="方正仿宋简体" w:eastAsia="方正仿宋简体" w:hAnsi="方正仿宋简体" w:cs="方正仿宋简体"/>
                <w:sz w:val="24"/>
              </w:rPr>
              <w:t>集合资金信托计划</w:t>
            </w:r>
          </w:p>
        </w:tc>
        <w:tc>
          <w:tcPr>
            <w:tcW w:w="2059" w:type="dxa"/>
            <w:shd w:val="clear" w:color="000000" w:fill="FFFFFF"/>
            <w:vAlign w:val="center"/>
          </w:tcPr>
          <w:p w14:paraId="153518A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294,229,383.12</w:t>
            </w:r>
          </w:p>
        </w:tc>
        <w:tc>
          <w:tcPr>
            <w:tcW w:w="1785" w:type="dxa"/>
            <w:shd w:val="clear" w:color="000000" w:fill="FFFFFF"/>
            <w:vAlign w:val="center"/>
          </w:tcPr>
          <w:p w14:paraId="30FE7A48"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12.39</w:t>
            </w:r>
          </w:p>
        </w:tc>
      </w:tr>
      <w:tr w:rsidR="005574DF" w14:paraId="440F77D1" w14:textId="77777777">
        <w:trPr>
          <w:trHeight w:val="300"/>
          <w:jc w:val="center"/>
        </w:trPr>
        <w:tc>
          <w:tcPr>
            <w:tcW w:w="762" w:type="dxa"/>
            <w:shd w:val="clear" w:color="auto" w:fill="auto"/>
            <w:vAlign w:val="center"/>
          </w:tcPr>
          <w:p w14:paraId="52652E9C"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w:t>
            </w:r>
          </w:p>
        </w:tc>
        <w:tc>
          <w:tcPr>
            <w:tcW w:w="1575" w:type="dxa"/>
            <w:shd w:val="clear" w:color="auto" w:fill="auto"/>
            <w:vAlign w:val="center"/>
          </w:tcPr>
          <w:p w14:paraId="0EB9FF9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ZJQTT2024</w:t>
            </w:r>
            <w:r>
              <w:rPr>
                <w:rFonts w:ascii="方正仿宋简体" w:eastAsia="方正仿宋简体" w:hAnsi="方正仿宋简体" w:cs="方正仿宋简体"/>
                <w:sz w:val="24"/>
              </w:rPr>
              <w:lastRenderedPageBreak/>
              <w:t>06170001</w:t>
            </w:r>
          </w:p>
        </w:tc>
        <w:tc>
          <w:tcPr>
            <w:tcW w:w="2721" w:type="dxa"/>
            <w:shd w:val="clear" w:color="000000" w:fill="FFFFFF"/>
            <w:vAlign w:val="center"/>
          </w:tcPr>
          <w:p w14:paraId="108E694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lastRenderedPageBreak/>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日日升</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w:t>
            </w:r>
            <w:r>
              <w:rPr>
                <w:rFonts w:ascii="方正仿宋简体" w:eastAsia="方正仿宋简体" w:hAnsi="方正仿宋简体" w:cs="方正仿宋简体"/>
                <w:sz w:val="24"/>
              </w:rPr>
              <w:lastRenderedPageBreak/>
              <w:t>合资金信托计划</w:t>
            </w:r>
          </w:p>
        </w:tc>
        <w:tc>
          <w:tcPr>
            <w:tcW w:w="2059" w:type="dxa"/>
            <w:shd w:val="clear" w:color="000000" w:fill="FFFFFF"/>
            <w:vAlign w:val="center"/>
          </w:tcPr>
          <w:p w14:paraId="42693EC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lastRenderedPageBreak/>
              <w:t>120,187,942.05</w:t>
            </w:r>
          </w:p>
        </w:tc>
        <w:tc>
          <w:tcPr>
            <w:tcW w:w="1785" w:type="dxa"/>
            <w:shd w:val="clear" w:color="000000" w:fill="FFFFFF"/>
            <w:vAlign w:val="center"/>
          </w:tcPr>
          <w:p w14:paraId="5A993EE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5.06</w:t>
            </w:r>
          </w:p>
        </w:tc>
      </w:tr>
      <w:tr w:rsidR="005574DF" w14:paraId="204C2BCE" w14:textId="77777777">
        <w:trPr>
          <w:trHeight w:val="300"/>
          <w:jc w:val="center"/>
        </w:trPr>
        <w:tc>
          <w:tcPr>
            <w:tcW w:w="762" w:type="dxa"/>
            <w:shd w:val="clear" w:color="auto" w:fill="auto"/>
            <w:vAlign w:val="center"/>
          </w:tcPr>
          <w:p w14:paraId="20745A7B"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4</w:t>
            </w:r>
          </w:p>
        </w:tc>
        <w:tc>
          <w:tcPr>
            <w:tcW w:w="1575" w:type="dxa"/>
            <w:shd w:val="clear" w:color="auto" w:fill="auto"/>
            <w:vAlign w:val="center"/>
          </w:tcPr>
          <w:p w14:paraId="2ABFD416"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09240402</w:t>
            </w:r>
          </w:p>
        </w:tc>
        <w:tc>
          <w:tcPr>
            <w:tcW w:w="2721" w:type="dxa"/>
            <w:shd w:val="clear" w:color="000000" w:fill="FFFFFF"/>
            <w:vAlign w:val="center"/>
          </w:tcPr>
          <w:p w14:paraId="1C381AB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24</w:t>
            </w:r>
            <w:proofErr w:type="gramStart"/>
            <w:r>
              <w:rPr>
                <w:rFonts w:ascii="方正仿宋简体" w:eastAsia="方正仿宋简体" w:hAnsi="方正仿宋简体" w:cs="方正仿宋简体"/>
                <w:sz w:val="24"/>
              </w:rPr>
              <w:t>农发清发</w:t>
            </w:r>
            <w:proofErr w:type="gramEnd"/>
            <w:r>
              <w:rPr>
                <w:rFonts w:ascii="方正仿宋简体" w:eastAsia="方正仿宋简体" w:hAnsi="方正仿宋简体" w:cs="方正仿宋简体"/>
                <w:sz w:val="24"/>
              </w:rPr>
              <w:t>02</w:t>
            </w:r>
          </w:p>
        </w:tc>
        <w:tc>
          <w:tcPr>
            <w:tcW w:w="2059" w:type="dxa"/>
            <w:shd w:val="clear" w:color="000000" w:fill="FFFFFF"/>
            <w:vAlign w:val="center"/>
          </w:tcPr>
          <w:p w14:paraId="2F64FC2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100,274,823.15</w:t>
            </w:r>
          </w:p>
        </w:tc>
        <w:tc>
          <w:tcPr>
            <w:tcW w:w="1785" w:type="dxa"/>
            <w:shd w:val="clear" w:color="000000" w:fill="FFFFFF"/>
            <w:vAlign w:val="center"/>
          </w:tcPr>
          <w:p w14:paraId="502B183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4.22</w:t>
            </w:r>
          </w:p>
        </w:tc>
      </w:tr>
      <w:tr w:rsidR="005574DF" w14:paraId="1BD8E1A6" w14:textId="77777777">
        <w:trPr>
          <w:trHeight w:val="300"/>
          <w:jc w:val="center"/>
        </w:trPr>
        <w:tc>
          <w:tcPr>
            <w:tcW w:w="762" w:type="dxa"/>
            <w:shd w:val="clear" w:color="auto" w:fill="auto"/>
            <w:vAlign w:val="center"/>
          </w:tcPr>
          <w:p w14:paraId="2539380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w:t>
            </w:r>
          </w:p>
        </w:tc>
        <w:tc>
          <w:tcPr>
            <w:tcW w:w="1575" w:type="dxa"/>
            <w:shd w:val="clear" w:color="auto" w:fill="auto"/>
            <w:vAlign w:val="center"/>
          </w:tcPr>
          <w:p w14:paraId="1F28501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DQCKX202504100001</w:t>
            </w:r>
          </w:p>
        </w:tc>
        <w:tc>
          <w:tcPr>
            <w:tcW w:w="2721" w:type="dxa"/>
            <w:shd w:val="clear" w:color="000000" w:fill="FFFFFF"/>
            <w:vAlign w:val="center"/>
          </w:tcPr>
          <w:p w14:paraId="68958ED8"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徽商银行定期存款</w:t>
            </w:r>
            <w:r>
              <w:rPr>
                <w:rFonts w:ascii="方正仿宋简体" w:eastAsia="方正仿宋简体" w:hAnsi="方正仿宋简体" w:cs="方正仿宋简体"/>
                <w:sz w:val="24"/>
              </w:rPr>
              <w:t>20250410A</w:t>
            </w:r>
          </w:p>
        </w:tc>
        <w:tc>
          <w:tcPr>
            <w:tcW w:w="2059" w:type="dxa"/>
            <w:shd w:val="clear" w:color="000000" w:fill="FFFFFF"/>
            <w:vAlign w:val="center"/>
          </w:tcPr>
          <w:p w14:paraId="4C95E46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100,000,000.00</w:t>
            </w:r>
          </w:p>
        </w:tc>
        <w:tc>
          <w:tcPr>
            <w:tcW w:w="1785" w:type="dxa"/>
            <w:shd w:val="clear" w:color="000000" w:fill="FFFFFF"/>
            <w:vAlign w:val="center"/>
          </w:tcPr>
          <w:p w14:paraId="2D68783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4.21</w:t>
            </w:r>
          </w:p>
        </w:tc>
      </w:tr>
      <w:tr w:rsidR="005574DF" w14:paraId="5BD7FA77" w14:textId="77777777">
        <w:trPr>
          <w:trHeight w:val="300"/>
          <w:jc w:val="center"/>
        </w:trPr>
        <w:tc>
          <w:tcPr>
            <w:tcW w:w="762" w:type="dxa"/>
            <w:shd w:val="clear" w:color="auto" w:fill="auto"/>
            <w:vAlign w:val="center"/>
          </w:tcPr>
          <w:p w14:paraId="6A5566F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6</w:t>
            </w:r>
          </w:p>
        </w:tc>
        <w:tc>
          <w:tcPr>
            <w:tcW w:w="1575" w:type="dxa"/>
            <w:shd w:val="clear" w:color="auto" w:fill="auto"/>
            <w:vAlign w:val="center"/>
          </w:tcPr>
          <w:p w14:paraId="695BB40C"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XJCKX202211030001</w:t>
            </w:r>
          </w:p>
        </w:tc>
        <w:tc>
          <w:tcPr>
            <w:tcW w:w="2721" w:type="dxa"/>
            <w:shd w:val="clear" w:color="000000" w:fill="FFFFFF"/>
            <w:vAlign w:val="center"/>
          </w:tcPr>
          <w:p w14:paraId="7E17118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建设银行南京分行活期存款</w:t>
            </w:r>
          </w:p>
        </w:tc>
        <w:tc>
          <w:tcPr>
            <w:tcW w:w="2059" w:type="dxa"/>
            <w:shd w:val="clear" w:color="000000" w:fill="FFFFFF"/>
            <w:vAlign w:val="center"/>
          </w:tcPr>
          <w:p w14:paraId="5608CB86"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80,001,673.06</w:t>
            </w:r>
          </w:p>
        </w:tc>
        <w:tc>
          <w:tcPr>
            <w:tcW w:w="1785" w:type="dxa"/>
            <w:shd w:val="clear" w:color="000000" w:fill="FFFFFF"/>
            <w:vAlign w:val="center"/>
          </w:tcPr>
          <w:p w14:paraId="2A74BF34"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3.37</w:t>
            </w:r>
          </w:p>
        </w:tc>
      </w:tr>
      <w:tr w:rsidR="005574DF" w14:paraId="1901DE2C" w14:textId="77777777">
        <w:trPr>
          <w:trHeight w:val="300"/>
          <w:jc w:val="center"/>
        </w:trPr>
        <w:tc>
          <w:tcPr>
            <w:tcW w:w="762" w:type="dxa"/>
            <w:shd w:val="clear" w:color="auto" w:fill="auto"/>
            <w:vAlign w:val="center"/>
          </w:tcPr>
          <w:p w14:paraId="07B0998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7</w:t>
            </w:r>
          </w:p>
        </w:tc>
        <w:tc>
          <w:tcPr>
            <w:tcW w:w="1575" w:type="dxa"/>
            <w:shd w:val="clear" w:color="auto" w:fill="auto"/>
            <w:vAlign w:val="center"/>
          </w:tcPr>
          <w:p w14:paraId="1CFD770E"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XJCKX202406060001</w:t>
            </w:r>
          </w:p>
        </w:tc>
        <w:tc>
          <w:tcPr>
            <w:tcW w:w="2721" w:type="dxa"/>
            <w:shd w:val="clear" w:color="000000" w:fill="FFFFFF"/>
            <w:vAlign w:val="center"/>
          </w:tcPr>
          <w:p w14:paraId="42CD065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平安银行南京分行活期存款</w:t>
            </w:r>
          </w:p>
        </w:tc>
        <w:tc>
          <w:tcPr>
            <w:tcW w:w="2059" w:type="dxa"/>
            <w:shd w:val="clear" w:color="000000" w:fill="FFFFFF"/>
            <w:vAlign w:val="center"/>
          </w:tcPr>
          <w:p w14:paraId="4E79F30E"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65,509,579.17</w:t>
            </w:r>
          </w:p>
        </w:tc>
        <w:tc>
          <w:tcPr>
            <w:tcW w:w="1785" w:type="dxa"/>
            <w:shd w:val="clear" w:color="000000" w:fill="FFFFFF"/>
            <w:vAlign w:val="center"/>
          </w:tcPr>
          <w:p w14:paraId="376E2EB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2.76</w:t>
            </w:r>
          </w:p>
        </w:tc>
      </w:tr>
      <w:tr w:rsidR="005574DF" w14:paraId="4F0AC8AD" w14:textId="77777777">
        <w:trPr>
          <w:trHeight w:val="300"/>
          <w:jc w:val="center"/>
        </w:trPr>
        <w:tc>
          <w:tcPr>
            <w:tcW w:w="762" w:type="dxa"/>
            <w:shd w:val="clear" w:color="auto" w:fill="auto"/>
            <w:vAlign w:val="center"/>
          </w:tcPr>
          <w:p w14:paraId="77B4F55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8</w:t>
            </w:r>
          </w:p>
        </w:tc>
        <w:tc>
          <w:tcPr>
            <w:tcW w:w="1575" w:type="dxa"/>
            <w:shd w:val="clear" w:color="auto" w:fill="auto"/>
            <w:vAlign w:val="center"/>
          </w:tcPr>
          <w:p w14:paraId="743586D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ZJQTT202409040002</w:t>
            </w:r>
          </w:p>
        </w:tc>
        <w:tc>
          <w:tcPr>
            <w:tcW w:w="2721" w:type="dxa"/>
            <w:shd w:val="clear" w:color="000000" w:fill="FFFFFF"/>
            <w:vAlign w:val="center"/>
          </w:tcPr>
          <w:p w14:paraId="4481C2F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陆家嘴信托</w:t>
            </w:r>
            <w:r>
              <w:rPr>
                <w:rFonts w:ascii="方正仿宋简体" w:eastAsia="方正仿宋简体" w:hAnsi="方正仿宋简体" w:cs="方正仿宋简体"/>
                <w:sz w:val="24"/>
              </w:rPr>
              <w:t>-</w:t>
            </w:r>
            <w:proofErr w:type="gramStart"/>
            <w:r>
              <w:rPr>
                <w:rFonts w:ascii="方正仿宋简体" w:eastAsia="方正仿宋简体" w:hAnsi="方正仿宋简体" w:cs="方正仿宋简体"/>
                <w:sz w:val="24"/>
              </w:rPr>
              <w:t>陆享</w:t>
            </w:r>
            <w:r>
              <w:rPr>
                <w:rFonts w:ascii="方正仿宋简体" w:eastAsia="方正仿宋简体" w:hAnsi="方正仿宋简体" w:cs="方正仿宋简体"/>
                <w:sz w:val="24"/>
              </w:rPr>
              <w:t>17</w:t>
            </w:r>
            <w:r>
              <w:rPr>
                <w:rFonts w:ascii="方正仿宋简体" w:eastAsia="方正仿宋简体" w:hAnsi="方正仿宋简体" w:cs="方正仿宋简体"/>
                <w:sz w:val="24"/>
              </w:rPr>
              <w:t>号</w:t>
            </w:r>
            <w:proofErr w:type="gramEnd"/>
            <w:r>
              <w:rPr>
                <w:rFonts w:ascii="方正仿宋简体" w:eastAsia="方正仿宋简体" w:hAnsi="方正仿宋简体" w:cs="方正仿宋简体"/>
                <w:sz w:val="24"/>
              </w:rPr>
              <w:t>集合资金信托计划</w:t>
            </w:r>
          </w:p>
        </w:tc>
        <w:tc>
          <w:tcPr>
            <w:tcW w:w="2059" w:type="dxa"/>
            <w:shd w:val="clear" w:color="000000" w:fill="FFFFFF"/>
            <w:vAlign w:val="center"/>
          </w:tcPr>
          <w:p w14:paraId="41222D44"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50,191,413.23</w:t>
            </w:r>
          </w:p>
        </w:tc>
        <w:tc>
          <w:tcPr>
            <w:tcW w:w="1785" w:type="dxa"/>
            <w:shd w:val="clear" w:color="000000" w:fill="FFFFFF"/>
            <w:vAlign w:val="center"/>
          </w:tcPr>
          <w:p w14:paraId="572F5CD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2.11</w:t>
            </w:r>
          </w:p>
        </w:tc>
      </w:tr>
      <w:tr w:rsidR="005574DF" w14:paraId="022AD8C0" w14:textId="77777777">
        <w:trPr>
          <w:trHeight w:val="300"/>
          <w:jc w:val="center"/>
        </w:trPr>
        <w:tc>
          <w:tcPr>
            <w:tcW w:w="762" w:type="dxa"/>
            <w:shd w:val="clear" w:color="auto" w:fill="auto"/>
            <w:vAlign w:val="center"/>
          </w:tcPr>
          <w:p w14:paraId="6BC183B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9</w:t>
            </w:r>
          </w:p>
        </w:tc>
        <w:tc>
          <w:tcPr>
            <w:tcW w:w="1575" w:type="dxa"/>
            <w:shd w:val="clear" w:color="auto" w:fill="auto"/>
            <w:vAlign w:val="center"/>
          </w:tcPr>
          <w:p w14:paraId="79E7E344"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DQCKX202503210003</w:t>
            </w:r>
          </w:p>
        </w:tc>
        <w:tc>
          <w:tcPr>
            <w:tcW w:w="2721" w:type="dxa"/>
            <w:shd w:val="clear" w:color="000000" w:fill="FFFFFF"/>
            <w:vAlign w:val="center"/>
          </w:tcPr>
          <w:p w14:paraId="5006A06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华夏银行定期存款</w:t>
            </w:r>
            <w:r>
              <w:rPr>
                <w:rFonts w:ascii="方正仿宋简体" w:eastAsia="方正仿宋简体" w:hAnsi="方正仿宋简体" w:cs="方正仿宋简体"/>
                <w:sz w:val="24"/>
              </w:rPr>
              <w:t>20250321</w:t>
            </w:r>
          </w:p>
        </w:tc>
        <w:tc>
          <w:tcPr>
            <w:tcW w:w="2059" w:type="dxa"/>
            <w:shd w:val="clear" w:color="000000" w:fill="FFFFFF"/>
            <w:vAlign w:val="center"/>
          </w:tcPr>
          <w:p w14:paraId="2944CDF6"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50,000,000.00</w:t>
            </w:r>
          </w:p>
        </w:tc>
        <w:tc>
          <w:tcPr>
            <w:tcW w:w="1785" w:type="dxa"/>
            <w:shd w:val="clear" w:color="000000" w:fill="FFFFFF"/>
            <w:vAlign w:val="center"/>
          </w:tcPr>
          <w:p w14:paraId="4F9E2CD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2.11</w:t>
            </w:r>
          </w:p>
        </w:tc>
      </w:tr>
      <w:tr w:rsidR="005574DF" w14:paraId="0D0D4577" w14:textId="77777777">
        <w:trPr>
          <w:trHeight w:val="300"/>
          <w:jc w:val="center"/>
        </w:trPr>
        <w:tc>
          <w:tcPr>
            <w:tcW w:w="762" w:type="dxa"/>
            <w:shd w:val="clear" w:color="auto" w:fill="auto"/>
            <w:vAlign w:val="center"/>
          </w:tcPr>
          <w:p w14:paraId="40C9EA68"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w:t>
            </w:r>
          </w:p>
        </w:tc>
        <w:tc>
          <w:tcPr>
            <w:tcW w:w="1575" w:type="dxa"/>
            <w:shd w:val="clear" w:color="auto" w:fill="auto"/>
            <w:vAlign w:val="center"/>
          </w:tcPr>
          <w:p w14:paraId="1D327B84"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DQCKX202504010002</w:t>
            </w:r>
          </w:p>
        </w:tc>
        <w:tc>
          <w:tcPr>
            <w:tcW w:w="2721" w:type="dxa"/>
            <w:shd w:val="clear" w:color="000000" w:fill="FFFFFF"/>
            <w:vAlign w:val="center"/>
          </w:tcPr>
          <w:p w14:paraId="34B9385E"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徽商银行定期存款</w:t>
            </w:r>
            <w:r>
              <w:rPr>
                <w:rFonts w:ascii="方正仿宋简体" w:eastAsia="方正仿宋简体" w:hAnsi="方正仿宋简体" w:cs="方正仿宋简体"/>
                <w:sz w:val="24"/>
              </w:rPr>
              <w:t>20250401B</w:t>
            </w:r>
          </w:p>
        </w:tc>
        <w:tc>
          <w:tcPr>
            <w:tcW w:w="2059" w:type="dxa"/>
            <w:shd w:val="clear" w:color="000000" w:fill="FFFFFF"/>
            <w:vAlign w:val="center"/>
          </w:tcPr>
          <w:p w14:paraId="40B43794"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50,000,000.00</w:t>
            </w:r>
          </w:p>
        </w:tc>
        <w:tc>
          <w:tcPr>
            <w:tcW w:w="1785" w:type="dxa"/>
            <w:shd w:val="clear" w:color="000000" w:fill="FFFFFF"/>
            <w:vAlign w:val="center"/>
          </w:tcPr>
          <w:p w14:paraId="5CC502E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2.11</w:t>
            </w:r>
          </w:p>
        </w:tc>
      </w:tr>
    </w:tbl>
    <w:p w14:paraId="512EAF23" w14:textId="77777777" w:rsidR="00FD04DE" w:rsidRDefault="00FD04DE" w:rsidP="00651A79">
      <w:pPr>
        <w:spacing w:before="240" w:afterLines="30" w:after="72" w:line="360" w:lineRule="auto"/>
        <w:rPr>
          <w:rFonts w:ascii="方正仿宋简体" w:eastAsia="方正仿宋简体" w:hAnsi="宋体" w:cs="宋体"/>
          <w:sz w:val="24"/>
          <w:szCs w:val="24"/>
          <w:shd w:val="clear" w:color="auto" w:fill="FFFFFF"/>
        </w:rPr>
      </w:pPr>
    </w:p>
    <w:p w14:paraId="0701A171" w14:textId="77777777" w:rsidR="00FD04DE" w:rsidRDefault="0068117A" w:rsidP="00651A79">
      <w:pPr>
        <w:spacing w:before="240" w:afterLines="30" w:after="72"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07"/>
        <w:gridCol w:w="1272"/>
        <w:gridCol w:w="1695"/>
        <w:gridCol w:w="1412"/>
        <w:gridCol w:w="1695"/>
        <w:gridCol w:w="1272"/>
        <w:gridCol w:w="849"/>
      </w:tblGrid>
      <w:tr w:rsidR="00FD04DE" w14:paraId="3C384A06" w14:textId="77777777">
        <w:trPr>
          <w:jc w:val="center"/>
        </w:trPr>
        <w:tc>
          <w:tcPr>
            <w:tcW w:w="707" w:type="dxa"/>
            <w:vAlign w:val="center"/>
          </w:tcPr>
          <w:p w14:paraId="649B29B7"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14:paraId="2F9C3E21"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14:paraId="18083A01"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14:paraId="0EA5ECD1"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14:paraId="0E7AC719"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14:paraId="1734D444"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14:paraId="60BFE16F"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rsidR="005574DF" w14:paraId="1CE2205A" w14:textId="77777777">
        <w:trPr>
          <w:jc w:val="center"/>
        </w:trPr>
        <w:tc>
          <w:tcPr>
            <w:tcW w:w="707" w:type="dxa"/>
            <w:vAlign w:val="center"/>
          </w:tcPr>
          <w:p w14:paraId="567C94D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1272" w:type="dxa"/>
            <w:vAlign w:val="center"/>
          </w:tcPr>
          <w:p w14:paraId="0466824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1695" w:type="dxa"/>
            <w:vAlign w:val="center"/>
          </w:tcPr>
          <w:p w14:paraId="6B9FA70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1412" w:type="dxa"/>
            <w:vAlign w:val="center"/>
          </w:tcPr>
          <w:p w14:paraId="66D82A02"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1695" w:type="dxa"/>
            <w:vAlign w:val="center"/>
          </w:tcPr>
          <w:p w14:paraId="0DD086D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1272" w:type="dxa"/>
            <w:vAlign w:val="center"/>
          </w:tcPr>
          <w:p w14:paraId="13D1A01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c>
          <w:tcPr>
            <w:tcW w:w="849" w:type="dxa"/>
            <w:vAlign w:val="center"/>
          </w:tcPr>
          <w:p w14:paraId="6BF7CF8C"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w:t>
            </w:r>
          </w:p>
        </w:tc>
      </w:tr>
    </w:tbl>
    <w:p w14:paraId="29FFE527"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5906D572"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04"/>
        <w:gridCol w:w="1559"/>
        <w:gridCol w:w="2671"/>
        <w:gridCol w:w="1984"/>
        <w:gridCol w:w="1984"/>
      </w:tblGrid>
      <w:tr w:rsidR="00FD04DE" w14:paraId="784EF78E" w14:textId="77777777">
        <w:trPr>
          <w:trHeight w:val="705"/>
          <w:jc w:val="center"/>
        </w:trPr>
        <w:tc>
          <w:tcPr>
            <w:tcW w:w="704" w:type="dxa"/>
            <w:vAlign w:val="center"/>
          </w:tcPr>
          <w:p w14:paraId="76374CCE"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14:paraId="428A653C"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671" w:type="dxa"/>
            <w:vAlign w:val="center"/>
          </w:tcPr>
          <w:p w14:paraId="525A85F0"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14:paraId="75D12B8A"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14:paraId="748047CA"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rsidR="005574DF" w14:paraId="08E7ED96" w14:textId="77777777">
        <w:trPr>
          <w:trHeight w:val="364"/>
          <w:jc w:val="center"/>
        </w:trPr>
        <w:tc>
          <w:tcPr>
            <w:tcW w:w="704" w:type="dxa"/>
            <w:vAlign w:val="center"/>
          </w:tcPr>
          <w:p w14:paraId="087C077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w:t>
            </w:r>
          </w:p>
        </w:tc>
        <w:tc>
          <w:tcPr>
            <w:tcW w:w="1559" w:type="dxa"/>
            <w:vAlign w:val="center"/>
          </w:tcPr>
          <w:p w14:paraId="1936091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托管账户</w:t>
            </w:r>
          </w:p>
        </w:tc>
        <w:tc>
          <w:tcPr>
            <w:tcW w:w="2671" w:type="dxa"/>
            <w:vAlign w:val="center"/>
          </w:tcPr>
          <w:p w14:paraId="4908649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0101020000000890</w:t>
            </w:r>
          </w:p>
        </w:tc>
        <w:tc>
          <w:tcPr>
            <w:tcW w:w="1984" w:type="dxa"/>
            <w:vAlign w:val="center"/>
          </w:tcPr>
          <w:p w14:paraId="6206F002"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南京银行南京分行</w:t>
            </w:r>
            <w:proofErr w:type="gramStart"/>
            <w:r>
              <w:rPr>
                <w:rFonts w:ascii="方正仿宋简体" w:eastAsia="方正仿宋简体" w:hAnsi="方正仿宋简体" w:cs="方正仿宋简体"/>
                <w:sz w:val="24"/>
              </w:rPr>
              <w:t>南银理财添瑞</w:t>
            </w:r>
            <w:proofErr w:type="gramEnd"/>
            <w:r>
              <w:rPr>
                <w:rFonts w:ascii="方正仿宋简体" w:eastAsia="方正仿宋简体" w:hAnsi="方正仿宋简体" w:cs="方正仿宋简体"/>
                <w:sz w:val="24"/>
              </w:rPr>
              <w:t>日日聚宝</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w:t>
            </w:r>
          </w:p>
        </w:tc>
        <w:tc>
          <w:tcPr>
            <w:tcW w:w="1984" w:type="dxa"/>
            <w:vAlign w:val="center"/>
          </w:tcPr>
          <w:p w14:paraId="3F3254B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南京银行</w:t>
            </w:r>
          </w:p>
        </w:tc>
      </w:tr>
    </w:tbl>
    <w:p w14:paraId="44923A74" w14:textId="77777777" w:rsidR="00FD04DE" w:rsidRDefault="00FD04DE" w:rsidP="00651A79">
      <w:pPr>
        <w:spacing w:before="240" w:afterLines="30" w:after="72" w:line="360" w:lineRule="auto"/>
        <w:rPr>
          <w:rFonts w:ascii="方正仿宋简体" w:eastAsia="方正仿宋简体"/>
          <w:sz w:val="24"/>
          <w:szCs w:val="24"/>
        </w:rPr>
      </w:pPr>
    </w:p>
    <w:p w14:paraId="38D95F5D"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14:paraId="062C49DB"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w:t>
      </w:r>
      <w:proofErr w:type="gramStart"/>
      <w:r>
        <w:rPr>
          <w:rFonts w:ascii="方正仿宋简体" w:eastAsia="方正仿宋简体" w:hAnsi="宋体" w:cs="宋体" w:hint="eastAsia"/>
          <w:color w:val="000000"/>
          <w:kern w:val="0"/>
          <w:sz w:val="24"/>
          <w:szCs w:val="24"/>
        </w:rPr>
        <w:t>方发行</w:t>
      </w:r>
      <w:proofErr w:type="gramEnd"/>
      <w:r>
        <w:rPr>
          <w:rFonts w:ascii="方正仿宋简体" w:eastAsia="方正仿宋简体" w:hAnsi="宋体" w:cs="宋体" w:hint="eastAsia"/>
          <w:color w:val="000000"/>
          <w:kern w:val="0"/>
          <w:sz w:val="24"/>
          <w:szCs w:val="24"/>
        </w:rPr>
        <w:t>的证券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6C1A0C94"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3E61888B"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3EC02339"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产品与关联方作为交易对手开展的投融资业务交易金额</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6C141CAB"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5A9CB997" w14:textId="77777777" w:rsidR="00FD04DE" w:rsidRDefault="00E340F5"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68117A">
        <w:rPr>
          <w:rFonts w:ascii="方正仿宋简体" w:eastAsia="方正仿宋简体" w:hAnsi="宋体" w:cs="宋体" w:hint="eastAsia"/>
          <w:color w:val="000000"/>
          <w:kern w:val="0"/>
          <w:sz w:val="24"/>
          <w:szCs w:val="24"/>
        </w:rPr>
        <w:t>支付关联方托管费</w:t>
      </w:r>
      <w:r w:rsidR="0068117A">
        <w:rPr>
          <w:rFonts w:ascii="方正仿宋简体" w:eastAsia="方正仿宋简体" w:hAnsi="宋体" w:cs="宋体"/>
          <w:color w:val="000000"/>
          <w:kern w:val="0"/>
          <w:sz w:val="24"/>
          <w:szCs w:val="24"/>
        </w:rPr>
        <w:t>150,177.18</w:t>
      </w:r>
      <w:r>
        <w:rPr>
          <w:rFonts w:ascii="方正仿宋简体" w:eastAsia="方正仿宋简体" w:hAnsi="宋体" w:cs="宋体" w:hint="eastAsia"/>
          <w:color w:val="000000"/>
          <w:kern w:val="0"/>
          <w:sz w:val="24"/>
          <w:szCs w:val="24"/>
        </w:rPr>
        <w:t>元，</w:t>
      </w:r>
      <w:r w:rsidR="0068117A">
        <w:rPr>
          <w:rFonts w:ascii="方正仿宋简体" w:eastAsia="方正仿宋简体" w:hAnsi="宋体" w:cs="宋体" w:hint="eastAsia"/>
          <w:color w:val="000000"/>
          <w:kern w:val="0"/>
          <w:sz w:val="24"/>
          <w:szCs w:val="24"/>
        </w:rPr>
        <w:t>支付关联方代销费</w:t>
      </w:r>
      <w:r w:rsidR="0068117A">
        <w:rPr>
          <w:rFonts w:ascii="方正仿宋简体" w:eastAsia="方正仿宋简体" w:hAnsi="宋体" w:cs="宋体"/>
          <w:color w:val="000000"/>
          <w:kern w:val="0"/>
          <w:sz w:val="24"/>
          <w:szCs w:val="24"/>
        </w:rPr>
        <w:t>657.55</w:t>
      </w:r>
      <w:r w:rsidR="0068117A">
        <w:rPr>
          <w:rFonts w:ascii="方正仿宋简体" w:eastAsia="方正仿宋简体" w:hAnsi="宋体" w:cs="宋体" w:hint="eastAsia"/>
          <w:color w:val="000000"/>
          <w:kern w:val="0"/>
          <w:sz w:val="24"/>
          <w:szCs w:val="24"/>
        </w:rPr>
        <w:t>元。</w:t>
      </w:r>
    </w:p>
    <w:p w14:paraId="4988BE3B" w14:textId="77777777" w:rsidR="00FD04DE" w:rsidRDefault="0068117A" w:rsidP="00651A79">
      <w:pPr>
        <w:widowControl/>
        <w:shd w:val="clear" w:color="auto" w:fill="FFFFFF"/>
        <w:spacing w:before="240" w:afterLines="30" w:after="72"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14:paraId="1DF6B840" w14:textId="77777777" w:rsidR="00FD04DE" w:rsidRDefault="0068117A" w:rsidP="00651A79">
      <w:pPr>
        <w:spacing w:before="240" w:afterLines="30" w:after="72"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14:paraId="1D07286C"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36A6816A" w14:textId="77777777" w:rsidR="00FD04DE" w:rsidRDefault="0068117A" w:rsidP="00651A79">
      <w:pPr>
        <w:spacing w:before="240" w:afterLines="3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b/>
          <w:sz w:val="24"/>
          <w:szCs w:val="24"/>
        </w:rPr>
        <w:t>8</w:t>
      </w:r>
      <w:r>
        <w:rPr>
          <w:rFonts w:ascii="方正仿宋简体" w:eastAsia="方正仿宋简体" w:hint="eastAsia"/>
          <w:b/>
          <w:sz w:val="24"/>
          <w:szCs w:val="24"/>
        </w:rPr>
        <w:t>前10名投资者情况</w:t>
      </w:r>
    </w:p>
    <w:tbl>
      <w:tblP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559"/>
        <w:gridCol w:w="3686"/>
        <w:gridCol w:w="2811"/>
      </w:tblGrid>
      <w:tr w:rsidR="00FD04DE" w14:paraId="1A879827" w14:textId="77777777">
        <w:trPr>
          <w:trHeight w:val="705"/>
          <w:jc w:val="center"/>
        </w:trPr>
        <w:tc>
          <w:tcPr>
            <w:tcW w:w="846" w:type="dxa"/>
            <w:vAlign w:val="center"/>
          </w:tcPr>
          <w:p w14:paraId="2CBF929B"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14:paraId="4C6808A5"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类别</w:t>
            </w:r>
          </w:p>
        </w:tc>
        <w:tc>
          <w:tcPr>
            <w:tcW w:w="3686" w:type="dxa"/>
            <w:vAlign w:val="center"/>
          </w:tcPr>
          <w:p w14:paraId="4E206E98"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持有份额（份）</w:t>
            </w:r>
          </w:p>
        </w:tc>
        <w:tc>
          <w:tcPr>
            <w:tcW w:w="2811" w:type="dxa"/>
            <w:vAlign w:val="center"/>
          </w:tcPr>
          <w:p w14:paraId="4D3F9017" w14:textId="77777777" w:rsidR="00FD04DE" w:rsidRDefault="0068117A" w:rsidP="00651A79">
            <w:pPr>
              <w:spacing w:beforeLines="20" w:before="48" w:afterLines="20" w:after="48"/>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占总份额比例（%）</w:t>
            </w:r>
          </w:p>
        </w:tc>
      </w:tr>
      <w:tr w:rsidR="005574DF" w14:paraId="1A062A59" w14:textId="77777777">
        <w:trPr>
          <w:trHeight w:val="364"/>
          <w:jc w:val="center"/>
        </w:trPr>
        <w:tc>
          <w:tcPr>
            <w:tcW w:w="846" w:type="dxa"/>
            <w:vAlign w:val="center"/>
          </w:tcPr>
          <w:p w14:paraId="5EE4C2D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w:t>
            </w:r>
          </w:p>
        </w:tc>
        <w:tc>
          <w:tcPr>
            <w:tcW w:w="1559" w:type="dxa"/>
            <w:vAlign w:val="center"/>
          </w:tcPr>
          <w:p w14:paraId="0912C40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2FF76DA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104,733,906.32</w:t>
            </w:r>
          </w:p>
        </w:tc>
        <w:tc>
          <w:tcPr>
            <w:tcW w:w="2811" w:type="dxa"/>
            <w:vAlign w:val="center"/>
          </w:tcPr>
          <w:p w14:paraId="42358398"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4.41</w:t>
            </w:r>
          </w:p>
        </w:tc>
      </w:tr>
      <w:tr w:rsidR="005574DF" w14:paraId="0AEDDECC" w14:textId="77777777">
        <w:trPr>
          <w:trHeight w:val="364"/>
          <w:jc w:val="center"/>
        </w:trPr>
        <w:tc>
          <w:tcPr>
            <w:tcW w:w="846" w:type="dxa"/>
            <w:vAlign w:val="center"/>
          </w:tcPr>
          <w:p w14:paraId="799360C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w:t>
            </w:r>
          </w:p>
        </w:tc>
        <w:tc>
          <w:tcPr>
            <w:tcW w:w="1559" w:type="dxa"/>
            <w:vAlign w:val="center"/>
          </w:tcPr>
          <w:p w14:paraId="25F4F1A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40E7B6F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37,755,275.78</w:t>
            </w:r>
          </w:p>
        </w:tc>
        <w:tc>
          <w:tcPr>
            <w:tcW w:w="2811" w:type="dxa"/>
            <w:vAlign w:val="center"/>
          </w:tcPr>
          <w:p w14:paraId="1461E72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1.59</w:t>
            </w:r>
          </w:p>
        </w:tc>
      </w:tr>
      <w:tr w:rsidR="005574DF" w14:paraId="02B93FCA" w14:textId="77777777">
        <w:trPr>
          <w:trHeight w:val="364"/>
          <w:jc w:val="center"/>
        </w:trPr>
        <w:tc>
          <w:tcPr>
            <w:tcW w:w="846" w:type="dxa"/>
            <w:vAlign w:val="center"/>
          </w:tcPr>
          <w:p w14:paraId="6288F5D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w:t>
            </w:r>
          </w:p>
        </w:tc>
        <w:tc>
          <w:tcPr>
            <w:tcW w:w="1559" w:type="dxa"/>
            <w:vAlign w:val="center"/>
          </w:tcPr>
          <w:p w14:paraId="3B4C7972"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7FDBEEA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35,753,241.98</w:t>
            </w:r>
          </w:p>
        </w:tc>
        <w:tc>
          <w:tcPr>
            <w:tcW w:w="2811" w:type="dxa"/>
            <w:vAlign w:val="center"/>
          </w:tcPr>
          <w:p w14:paraId="335FF14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1.51</w:t>
            </w:r>
          </w:p>
        </w:tc>
      </w:tr>
      <w:tr w:rsidR="005574DF" w14:paraId="04441965" w14:textId="77777777">
        <w:trPr>
          <w:trHeight w:val="364"/>
          <w:jc w:val="center"/>
        </w:trPr>
        <w:tc>
          <w:tcPr>
            <w:tcW w:w="846" w:type="dxa"/>
            <w:vAlign w:val="center"/>
          </w:tcPr>
          <w:p w14:paraId="17D0E4E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4</w:t>
            </w:r>
          </w:p>
        </w:tc>
        <w:tc>
          <w:tcPr>
            <w:tcW w:w="1559" w:type="dxa"/>
            <w:vAlign w:val="center"/>
          </w:tcPr>
          <w:p w14:paraId="43EB28F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2F8EBC62"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33,685,976.66</w:t>
            </w:r>
          </w:p>
        </w:tc>
        <w:tc>
          <w:tcPr>
            <w:tcW w:w="2811" w:type="dxa"/>
            <w:vAlign w:val="center"/>
          </w:tcPr>
          <w:p w14:paraId="11DDC7BB"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1.42</w:t>
            </w:r>
          </w:p>
        </w:tc>
      </w:tr>
      <w:tr w:rsidR="005574DF" w14:paraId="1BC85405" w14:textId="77777777">
        <w:trPr>
          <w:trHeight w:val="364"/>
          <w:jc w:val="center"/>
        </w:trPr>
        <w:tc>
          <w:tcPr>
            <w:tcW w:w="846" w:type="dxa"/>
            <w:vAlign w:val="center"/>
          </w:tcPr>
          <w:p w14:paraId="438EDD9B"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5</w:t>
            </w:r>
          </w:p>
        </w:tc>
        <w:tc>
          <w:tcPr>
            <w:tcW w:w="1559" w:type="dxa"/>
            <w:vAlign w:val="center"/>
          </w:tcPr>
          <w:p w14:paraId="5AD859B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38F6126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31,021,706.94</w:t>
            </w:r>
          </w:p>
        </w:tc>
        <w:tc>
          <w:tcPr>
            <w:tcW w:w="2811" w:type="dxa"/>
            <w:vAlign w:val="center"/>
          </w:tcPr>
          <w:p w14:paraId="532DB6B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1.31</w:t>
            </w:r>
          </w:p>
        </w:tc>
      </w:tr>
      <w:tr w:rsidR="005574DF" w14:paraId="3A3A1EA0" w14:textId="77777777">
        <w:trPr>
          <w:trHeight w:val="364"/>
          <w:jc w:val="center"/>
        </w:trPr>
        <w:tc>
          <w:tcPr>
            <w:tcW w:w="846" w:type="dxa"/>
            <w:vAlign w:val="center"/>
          </w:tcPr>
          <w:p w14:paraId="6F4BF1B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6</w:t>
            </w:r>
          </w:p>
        </w:tc>
        <w:tc>
          <w:tcPr>
            <w:tcW w:w="1559" w:type="dxa"/>
            <w:vAlign w:val="center"/>
          </w:tcPr>
          <w:p w14:paraId="4F86137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65A679D9"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28,584,410.94</w:t>
            </w:r>
          </w:p>
        </w:tc>
        <w:tc>
          <w:tcPr>
            <w:tcW w:w="2811" w:type="dxa"/>
            <w:vAlign w:val="center"/>
          </w:tcPr>
          <w:p w14:paraId="3E9D7910"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1.20</w:t>
            </w:r>
          </w:p>
        </w:tc>
      </w:tr>
      <w:tr w:rsidR="005574DF" w14:paraId="0F0040DC" w14:textId="77777777">
        <w:trPr>
          <w:trHeight w:val="364"/>
          <w:jc w:val="center"/>
        </w:trPr>
        <w:tc>
          <w:tcPr>
            <w:tcW w:w="846" w:type="dxa"/>
            <w:vAlign w:val="center"/>
          </w:tcPr>
          <w:p w14:paraId="62B5A25C"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lastRenderedPageBreak/>
              <w:t>7</w:t>
            </w:r>
          </w:p>
        </w:tc>
        <w:tc>
          <w:tcPr>
            <w:tcW w:w="1559" w:type="dxa"/>
            <w:vAlign w:val="center"/>
          </w:tcPr>
          <w:p w14:paraId="6D22932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62739F3F"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27,772,524.91</w:t>
            </w:r>
          </w:p>
        </w:tc>
        <w:tc>
          <w:tcPr>
            <w:tcW w:w="2811" w:type="dxa"/>
            <w:vAlign w:val="center"/>
          </w:tcPr>
          <w:p w14:paraId="08B125B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1.17</w:t>
            </w:r>
          </w:p>
        </w:tc>
      </w:tr>
      <w:tr w:rsidR="005574DF" w14:paraId="13D990B6" w14:textId="77777777">
        <w:trPr>
          <w:trHeight w:val="364"/>
          <w:jc w:val="center"/>
        </w:trPr>
        <w:tc>
          <w:tcPr>
            <w:tcW w:w="846" w:type="dxa"/>
            <w:vAlign w:val="center"/>
          </w:tcPr>
          <w:p w14:paraId="17C502EE"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8</w:t>
            </w:r>
          </w:p>
        </w:tc>
        <w:tc>
          <w:tcPr>
            <w:tcW w:w="1559" w:type="dxa"/>
            <w:vAlign w:val="center"/>
          </w:tcPr>
          <w:p w14:paraId="7C0E111D"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42B38FA1"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24,029,562.94</w:t>
            </w:r>
          </w:p>
        </w:tc>
        <w:tc>
          <w:tcPr>
            <w:tcW w:w="2811" w:type="dxa"/>
            <w:vAlign w:val="center"/>
          </w:tcPr>
          <w:p w14:paraId="7D99E455"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1.01</w:t>
            </w:r>
          </w:p>
        </w:tc>
      </w:tr>
      <w:tr w:rsidR="005574DF" w14:paraId="18DB11A8" w14:textId="77777777">
        <w:trPr>
          <w:trHeight w:val="364"/>
          <w:jc w:val="center"/>
        </w:trPr>
        <w:tc>
          <w:tcPr>
            <w:tcW w:w="846" w:type="dxa"/>
            <w:vAlign w:val="center"/>
          </w:tcPr>
          <w:p w14:paraId="1C91451A"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9</w:t>
            </w:r>
          </w:p>
        </w:tc>
        <w:tc>
          <w:tcPr>
            <w:tcW w:w="1559" w:type="dxa"/>
            <w:vAlign w:val="center"/>
          </w:tcPr>
          <w:p w14:paraId="0C14A5A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个人</w:t>
            </w:r>
          </w:p>
        </w:tc>
        <w:tc>
          <w:tcPr>
            <w:tcW w:w="3686" w:type="dxa"/>
            <w:vAlign w:val="center"/>
          </w:tcPr>
          <w:p w14:paraId="0F23BBC8"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20,050,456.37</w:t>
            </w:r>
          </w:p>
        </w:tc>
        <w:tc>
          <w:tcPr>
            <w:tcW w:w="2811" w:type="dxa"/>
            <w:vAlign w:val="center"/>
          </w:tcPr>
          <w:p w14:paraId="68E79F6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0.84</w:t>
            </w:r>
          </w:p>
        </w:tc>
      </w:tr>
      <w:tr w:rsidR="005574DF" w14:paraId="30C5975F" w14:textId="77777777">
        <w:trPr>
          <w:trHeight w:val="364"/>
          <w:jc w:val="center"/>
        </w:trPr>
        <w:tc>
          <w:tcPr>
            <w:tcW w:w="846" w:type="dxa"/>
            <w:vAlign w:val="center"/>
          </w:tcPr>
          <w:p w14:paraId="27410857"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10</w:t>
            </w:r>
          </w:p>
        </w:tc>
        <w:tc>
          <w:tcPr>
            <w:tcW w:w="1559" w:type="dxa"/>
            <w:vAlign w:val="center"/>
          </w:tcPr>
          <w:p w14:paraId="04E9AED3"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机构</w:t>
            </w:r>
          </w:p>
        </w:tc>
        <w:tc>
          <w:tcPr>
            <w:tcW w:w="3686" w:type="dxa"/>
            <w:vAlign w:val="center"/>
          </w:tcPr>
          <w:p w14:paraId="13E4977E"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16,809,086.03</w:t>
            </w:r>
          </w:p>
        </w:tc>
        <w:tc>
          <w:tcPr>
            <w:tcW w:w="2811" w:type="dxa"/>
            <w:vAlign w:val="center"/>
          </w:tcPr>
          <w:p w14:paraId="43947126" w14:textId="77777777" w:rsidR="005574DF" w:rsidRDefault="00C44011">
            <w:pPr>
              <w:spacing w:beforeLines="20" w:before="48" w:afterLines="20" w:after="48"/>
              <w:jc w:val="center"/>
              <w:textAlignment w:val="center"/>
              <w:rPr>
                <w:rFonts w:ascii="方正仿宋简体" w:eastAsia="方正仿宋简体" w:hAnsiTheme="minorEastAsia"/>
                <w:sz w:val="24"/>
                <w:szCs w:val="24"/>
              </w:rPr>
            </w:pPr>
            <w:r>
              <w:rPr>
                <w:rFonts w:ascii="方正仿宋简体" w:eastAsia="方正仿宋简体" w:hAnsi="方正仿宋简体" w:cs="方正仿宋简体"/>
                <w:sz w:val="24"/>
              </w:rPr>
              <w:t>0.71</w:t>
            </w:r>
          </w:p>
        </w:tc>
      </w:tr>
    </w:tbl>
    <w:p w14:paraId="274CE5D0"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4C192F48" w14:textId="77777777" w:rsidR="00FD04DE" w:rsidRDefault="0068117A">
      <w:pPr>
        <w:spacing w:before="240" w:line="360" w:lineRule="auto"/>
        <w:jc w:val="center"/>
        <w:rPr>
          <w:rFonts w:ascii="方正仿宋简体" w:eastAsia="方正仿宋简体"/>
          <w:b/>
          <w:sz w:val="24"/>
          <w:szCs w:val="24"/>
        </w:rPr>
      </w:pPr>
      <w:r>
        <w:rPr>
          <w:rFonts w:ascii="方正仿宋简体" w:eastAsia="方正仿宋简体" w:hint="eastAsia"/>
          <w:b/>
          <w:sz w:val="24"/>
          <w:szCs w:val="24"/>
        </w:rPr>
        <w:t>§9 现金管理类理财产品持有份额不低于20%投资者情况</w:t>
      </w:r>
    </w:p>
    <w:tbl>
      <w:tblPr>
        <w:tblW w:w="11280"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335"/>
        <w:gridCol w:w="1560"/>
        <w:gridCol w:w="1515"/>
        <w:gridCol w:w="1930"/>
        <w:gridCol w:w="1558"/>
        <w:gridCol w:w="1844"/>
        <w:gridCol w:w="1538"/>
      </w:tblGrid>
      <w:tr w:rsidR="00FD04DE" w14:paraId="72CF2EA1" w14:textId="77777777" w:rsidTr="00B21990">
        <w:trPr>
          <w:jc w:val="center"/>
        </w:trPr>
        <w:tc>
          <w:tcPr>
            <w:tcW w:w="1335" w:type="dxa"/>
            <w:vAlign w:val="center"/>
          </w:tcPr>
          <w:p w14:paraId="7D37CB5F"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Ansi="Calibri" w:hint="eastAsia"/>
                <w:sz w:val="24"/>
                <w:szCs w:val="24"/>
                <w:shd w:val="clear" w:color="auto" w:fill="FFFFFF"/>
              </w:rPr>
              <w:t>序号</w:t>
            </w:r>
          </w:p>
        </w:tc>
        <w:tc>
          <w:tcPr>
            <w:tcW w:w="1560" w:type="dxa"/>
            <w:vAlign w:val="center"/>
          </w:tcPr>
          <w:p w14:paraId="60820321"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日期</w:t>
            </w:r>
          </w:p>
        </w:tc>
        <w:tc>
          <w:tcPr>
            <w:tcW w:w="1515" w:type="dxa"/>
            <w:vAlign w:val="center"/>
          </w:tcPr>
          <w:p w14:paraId="76BF007F"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930" w:type="dxa"/>
            <w:vAlign w:val="center"/>
          </w:tcPr>
          <w:p w14:paraId="1882FD7A"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558" w:type="dxa"/>
            <w:vAlign w:val="center"/>
          </w:tcPr>
          <w:p w14:paraId="7442F62D"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844" w:type="dxa"/>
            <w:vAlign w:val="center"/>
          </w:tcPr>
          <w:p w14:paraId="47EB19C7" w14:textId="77777777" w:rsidR="00FD04DE" w:rsidRDefault="0068117A" w:rsidP="00651A79">
            <w:pPr>
              <w:spacing w:beforeLines="20" w:before="48" w:afterLines="20" w:after="48"/>
              <w:jc w:val="center"/>
              <w:rPr>
                <w:rFonts w:ascii="方正仿宋简体" w:eastAsia="方正仿宋简体"/>
                <w:sz w:val="24"/>
                <w:szCs w:val="24"/>
              </w:rPr>
            </w:pPr>
            <w:r>
              <w:rPr>
                <w:rFonts w:ascii="方正仿宋简体" w:eastAsia="方正仿宋简体"/>
                <w:sz w:val="24"/>
                <w:szCs w:val="24"/>
              </w:rPr>
              <w:t>持有份额</w:t>
            </w:r>
          </w:p>
          <w:p w14:paraId="2148C3D5" w14:textId="77777777" w:rsidR="00FD04DE" w:rsidRDefault="0068117A" w:rsidP="00651A79">
            <w:pPr>
              <w:spacing w:beforeLines="20" w:before="48" w:afterLines="20" w:after="48"/>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38" w:type="dxa"/>
            <w:vAlign w:val="center"/>
          </w:tcPr>
          <w:p w14:paraId="7F8D825D" w14:textId="77777777"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产品风险</w:t>
            </w:r>
          </w:p>
        </w:tc>
      </w:tr>
      <w:tr w:rsidR="00B21990" w14:paraId="565AB914" w14:textId="77777777" w:rsidTr="00B21990">
        <w:trPr>
          <w:jc w:val="center"/>
        </w:trPr>
        <w:tc>
          <w:tcPr>
            <w:tcW w:w="1335" w:type="dxa"/>
            <w:vAlign w:val="center"/>
          </w:tcPr>
          <w:p w14:paraId="113CD8A4" w14:textId="54199572" w:rsidR="00B21990" w:rsidRDefault="00B21990" w:rsidP="00B21990">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1</w:t>
            </w:r>
          </w:p>
        </w:tc>
        <w:tc>
          <w:tcPr>
            <w:tcW w:w="1560" w:type="dxa"/>
            <w:vAlign w:val="center"/>
          </w:tcPr>
          <w:p w14:paraId="664FD2AF" w14:textId="7C76200F" w:rsidR="00B21990" w:rsidRDefault="00B21990" w:rsidP="00B21990">
            <w:pPr>
              <w:spacing w:before="240" w:line="360" w:lineRule="auto"/>
              <w:jc w:val="center"/>
              <w:rPr>
                <w:rFonts w:ascii="方正仿宋简体" w:eastAsia="方正仿宋简体"/>
                <w:sz w:val="24"/>
                <w:szCs w:val="24"/>
                <w:shd w:val="clear" w:color="auto" w:fill="FFFFFF"/>
              </w:rPr>
            </w:pPr>
            <w:r w:rsidRPr="004F5823">
              <w:rPr>
                <w:rFonts w:ascii="方正仿宋简体" w:eastAsia="方正仿宋简体" w:hint="eastAsia"/>
                <w:sz w:val="24"/>
                <w:szCs w:val="24"/>
                <w:shd w:val="clear" w:color="auto" w:fill="FFFFFF"/>
              </w:rPr>
              <w:t>2025/1/14</w:t>
            </w:r>
          </w:p>
        </w:tc>
        <w:tc>
          <w:tcPr>
            <w:tcW w:w="1515" w:type="dxa"/>
            <w:vAlign w:val="center"/>
          </w:tcPr>
          <w:p w14:paraId="1F526BE0" w14:textId="7F4C73B9" w:rsidR="00B21990" w:rsidRDefault="00B21990" w:rsidP="00B21990">
            <w:pPr>
              <w:spacing w:before="240" w:line="360" w:lineRule="auto"/>
              <w:jc w:val="center"/>
              <w:rPr>
                <w:rFonts w:ascii="方正仿宋简体" w:eastAsia="方正仿宋简体"/>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38014438" w14:textId="376495C8" w:rsidR="00B21990" w:rsidRDefault="00B21990" w:rsidP="00B21990">
            <w:pPr>
              <w:spacing w:before="240" w:line="360" w:lineRule="auto"/>
              <w:jc w:val="center"/>
              <w:rPr>
                <w:rFonts w:ascii="方正仿宋简体" w:eastAsia="方正仿宋简体"/>
                <w:sz w:val="24"/>
                <w:szCs w:val="24"/>
                <w:shd w:val="clear" w:color="auto" w:fill="FFFFFF"/>
              </w:rPr>
            </w:pPr>
            <w:r w:rsidRPr="004F5823">
              <w:rPr>
                <w:rFonts w:ascii="方正仿宋简体" w:eastAsia="方正仿宋简体" w:hint="eastAsia"/>
                <w:sz w:val="24"/>
                <w:szCs w:val="24"/>
                <w:shd w:val="clear" w:color="auto" w:fill="FFFFFF"/>
              </w:rPr>
              <w:t>50,000,000.00</w:t>
            </w:r>
          </w:p>
        </w:tc>
        <w:tc>
          <w:tcPr>
            <w:tcW w:w="1558" w:type="dxa"/>
            <w:vAlign w:val="center"/>
          </w:tcPr>
          <w:p w14:paraId="23A2FC00" w14:textId="41582F5A" w:rsidR="00B21990" w:rsidRDefault="00B21990" w:rsidP="00B21990">
            <w:pPr>
              <w:spacing w:before="240" w:line="360" w:lineRule="auto"/>
              <w:jc w:val="center"/>
              <w:rPr>
                <w:rFonts w:ascii="方正仿宋简体" w:eastAsia="方正仿宋简体"/>
                <w:sz w:val="24"/>
                <w:szCs w:val="24"/>
                <w:shd w:val="clear" w:color="auto" w:fill="FFFFFF"/>
              </w:rPr>
            </w:pPr>
            <w:r w:rsidRPr="004F5823">
              <w:rPr>
                <w:rFonts w:ascii="方正仿宋简体" w:eastAsia="方正仿宋简体" w:hint="eastAsia"/>
                <w:sz w:val="24"/>
                <w:szCs w:val="24"/>
                <w:shd w:val="clear" w:color="auto" w:fill="FFFFFF"/>
              </w:rPr>
              <w:t>100.00%</w:t>
            </w:r>
          </w:p>
        </w:tc>
        <w:tc>
          <w:tcPr>
            <w:tcW w:w="1844" w:type="dxa"/>
            <w:vAlign w:val="center"/>
          </w:tcPr>
          <w:p w14:paraId="3EAA55CE" w14:textId="53728074" w:rsidR="00B21990" w:rsidRDefault="00B21990" w:rsidP="00B21990">
            <w:pPr>
              <w:spacing w:before="240" w:line="360" w:lineRule="auto"/>
              <w:jc w:val="center"/>
              <w:rPr>
                <w:rFonts w:ascii="方正仿宋简体" w:eastAsia="方正仿宋简体"/>
                <w:sz w:val="24"/>
                <w:szCs w:val="24"/>
                <w:shd w:val="clear" w:color="auto" w:fill="FFFFFF"/>
              </w:rPr>
            </w:pPr>
            <w:r w:rsidRPr="004F5823">
              <w:rPr>
                <w:rFonts w:ascii="方正仿宋简体" w:eastAsia="方正仿宋简体" w:hint="eastAsia"/>
                <w:sz w:val="24"/>
                <w:szCs w:val="24"/>
                <w:shd w:val="clear" w:color="auto" w:fill="FFFFFF"/>
              </w:rPr>
              <w:t>50,000,000.00</w:t>
            </w:r>
          </w:p>
        </w:tc>
        <w:tc>
          <w:tcPr>
            <w:tcW w:w="1538" w:type="dxa"/>
            <w:vAlign w:val="center"/>
          </w:tcPr>
          <w:p w14:paraId="27AA9674" w14:textId="00BACDD3" w:rsidR="00B21990" w:rsidRDefault="00B21990" w:rsidP="00B21990">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r>
      <w:tr w:rsidR="00B21990" w14:paraId="18D7DFE3" w14:textId="77777777" w:rsidTr="00B21990">
        <w:trPr>
          <w:jc w:val="center"/>
        </w:trPr>
        <w:tc>
          <w:tcPr>
            <w:tcW w:w="1335" w:type="dxa"/>
            <w:vAlign w:val="center"/>
          </w:tcPr>
          <w:p w14:paraId="7F4D2C57" w14:textId="2CB4BEB0"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2</w:t>
            </w:r>
          </w:p>
        </w:tc>
        <w:tc>
          <w:tcPr>
            <w:tcW w:w="1560" w:type="dxa"/>
            <w:vAlign w:val="center"/>
          </w:tcPr>
          <w:p w14:paraId="4EAAF03A" w14:textId="2D043AC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2025/1/15</w:t>
            </w:r>
          </w:p>
        </w:tc>
        <w:tc>
          <w:tcPr>
            <w:tcW w:w="1515" w:type="dxa"/>
            <w:vAlign w:val="center"/>
          </w:tcPr>
          <w:p w14:paraId="0ECECD32" w14:textId="164EEFA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2EA2AEC3" w14:textId="6D4BD471"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50,003,440.28</w:t>
            </w:r>
          </w:p>
        </w:tc>
        <w:tc>
          <w:tcPr>
            <w:tcW w:w="1558" w:type="dxa"/>
            <w:vAlign w:val="center"/>
          </w:tcPr>
          <w:p w14:paraId="32174023" w14:textId="1121F4E8"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100.00%</w:t>
            </w:r>
          </w:p>
        </w:tc>
        <w:tc>
          <w:tcPr>
            <w:tcW w:w="1844" w:type="dxa"/>
            <w:vAlign w:val="center"/>
          </w:tcPr>
          <w:p w14:paraId="41045BA0" w14:textId="5EBD1383"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3,440.28</w:t>
            </w:r>
          </w:p>
        </w:tc>
        <w:tc>
          <w:tcPr>
            <w:tcW w:w="1538" w:type="dxa"/>
            <w:vAlign w:val="center"/>
          </w:tcPr>
          <w:p w14:paraId="5F3BEBF4" w14:textId="16A28161"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r w:rsidR="00B21990" w14:paraId="1210C2BB" w14:textId="77777777" w:rsidTr="00B21990">
        <w:trPr>
          <w:jc w:val="center"/>
        </w:trPr>
        <w:tc>
          <w:tcPr>
            <w:tcW w:w="1335" w:type="dxa"/>
            <w:vAlign w:val="center"/>
          </w:tcPr>
          <w:p w14:paraId="794E6711" w14:textId="280B2F5D"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3</w:t>
            </w:r>
          </w:p>
        </w:tc>
        <w:tc>
          <w:tcPr>
            <w:tcW w:w="1560" w:type="dxa"/>
            <w:vAlign w:val="center"/>
          </w:tcPr>
          <w:p w14:paraId="4FD4F85A" w14:textId="5024DBCD"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2025/1/16</w:t>
            </w:r>
          </w:p>
        </w:tc>
        <w:tc>
          <w:tcPr>
            <w:tcW w:w="1515" w:type="dxa"/>
            <w:vAlign w:val="center"/>
          </w:tcPr>
          <w:p w14:paraId="3848743B" w14:textId="31111938"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4E9FC59D" w14:textId="780159B3"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50,006,880.62</w:t>
            </w:r>
          </w:p>
        </w:tc>
        <w:tc>
          <w:tcPr>
            <w:tcW w:w="1558" w:type="dxa"/>
            <w:vAlign w:val="center"/>
          </w:tcPr>
          <w:p w14:paraId="626CEB21" w14:textId="66DB187E"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100.00%</w:t>
            </w:r>
          </w:p>
        </w:tc>
        <w:tc>
          <w:tcPr>
            <w:tcW w:w="1844" w:type="dxa"/>
            <w:vAlign w:val="center"/>
          </w:tcPr>
          <w:p w14:paraId="07853BB1" w14:textId="7E478C56"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3,440.34</w:t>
            </w:r>
          </w:p>
        </w:tc>
        <w:tc>
          <w:tcPr>
            <w:tcW w:w="1538" w:type="dxa"/>
            <w:vAlign w:val="center"/>
          </w:tcPr>
          <w:p w14:paraId="1D4F9B97" w14:textId="19DFB508"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r w:rsidR="00B21990" w14:paraId="1783B046" w14:textId="77777777" w:rsidTr="00B21990">
        <w:trPr>
          <w:jc w:val="center"/>
        </w:trPr>
        <w:tc>
          <w:tcPr>
            <w:tcW w:w="1335" w:type="dxa"/>
            <w:vAlign w:val="center"/>
          </w:tcPr>
          <w:p w14:paraId="1F7B954C" w14:textId="320E2E65"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4</w:t>
            </w:r>
          </w:p>
        </w:tc>
        <w:tc>
          <w:tcPr>
            <w:tcW w:w="1560" w:type="dxa"/>
            <w:vAlign w:val="center"/>
          </w:tcPr>
          <w:p w14:paraId="631B5920" w14:textId="65169EAC"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2025/1/17</w:t>
            </w:r>
          </w:p>
        </w:tc>
        <w:tc>
          <w:tcPr>
            <w:tcW w:w="1515" w:type="dxa"/>
            <w:vAlign w:val="center"/>
          </w:tcPr>
          <w:p w14:paraId="2B371CA2" w14:textId="2FD21F5A"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7C523DED" w14:textId="2B0984A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50,010,321.04</w:t>
            </w:r>
          </w:p>
        </w:tc>
        <w:tc>
          <w:tcPr>
            <w:tcW w:w="1558" w:type="dxa"/>
            <w:vAlign w:val="center"/>
          </w:tcPr>
          <w:p w14:paraId="7A1EAD72" w14:textId="2731F286"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100.00%</w:t>
            </w:r>
          </w:p>
        </w:tc>
        <w:tc>
          <w:tcPr>
            <w:tcW w:w="1844" w:type="dxa"/>
            <w:vAlign w:val="center"/>
          </w:tcPr>
          <w:p w14:paraId="05F0F477" w14:textId="4231D6F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3,440.42</w:t>
            </w:r>
          </w:p>
        </w:tc>
        <w:tc>
          <w:tcPr>
            <w:tcW w:w="1538" w:type="dxa"/>
            <w:vAlign w:val="center"/>
          </w:tcPr>
          <w:p w14:paraId="07DF2B10" w14:textId="0D0FDAB5"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r w:rsidR="00B21990" w14:paraId="3BDC9F52" w14:textId="77777777" w:rsidTr="00B21990">
        <w:trPr>
          <w:jc w:val="center"/>
        </w:trPr>
        <w:tc>
          <w:tcPr>
            <w:tcW w:w="1335" w:type="dxa"/>
            <w:vAlign w:val="center"/>
          </w:tcPr>
          <w:p w14:paraId="07015595" w14:textId="19D8D71F"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5</w:t>
            </w:r>
          </w:p>
        </w:tc>
        <w:tc>
          <w:tcPr>
            <w:tcW w:w="1560" w:type="dxa"/>
            <w:vAlign w:val="center"/>
          </w:tcPr>
          <w:p w14:paraId="593CE0D0" w14:textId="2EC17AEF"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2025/1/20</w:t>
            </w:r>
          </w:p>
        </w:tc>
        <w:tc>
          <w:tcPr>
            <w:tcW w:w="1515" w:type="dxa"/>
            <w:vAlign w:val="center"/>
          </w:tcPr>
          <w:p w14:paraId="0F89616F" w14:textId="4F95DEEB"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246B98F2" w14:textId="4395AAC6"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50,020,643.08</w:t>
            </w:r>
          </w:p>
        </w:tc>
        <w:tc>
          <w:tcPr>
            <w:tcW w:w="1558" w:type="dxa"/>
            <w:vAlign w:val="center"/>
          </w:tcPr>
          <w:p w14:paraId="4ED7498A" w14:textId="5FC539C1"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100.00%</w:t>
            </w:r>
          </w:p>
        </w:tc>
        <w:tc>
          <w:tcPr>
            <w:tcW w:w="1844" w:type="dxa"/>
            <w:vAlign w:val="center"/>
          </w:tcPr>
          <w:p w14:paraId="342D13DE" w14:textId="2C459A6C"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10,322.04</w:t>
            </w:r>
          </w:p>
        </w:tc>
        <w:tc>
          <w:tcPr>
            <w:tcW w:w="1538" w:type="dxa"/>
            <w:vAlign w:val="center"/>
          </w:tcPr>
          <w:p w14:paraId="405FF23B" w14:textId="0541FE00"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r w:rsidR="00B21990" w14:paraId="0DE1FF50" w14:textId="77777777" w:rsidTr="00B21990">
        <w:trPr>
          <w:jc w:val="center"/>
        </w:trPr>
        <w:tc>
          <w:tcPr>
            <w:tcW w:w="1335" w:type="dxa"/>
            <w:vAlign w:val="center"/>
          </w:tcPr>
          <w:p w14:paraId="3523B57D" w14:textId="320C6047"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6</w:t>
            </w:r>
          </w:p>
        </w:tc>
        <w:tc>
          <w:tcPr>
            <w:tcW w:w="1560" w:type="dxa"/>
            <w:vAlign w:val="center"/>
          </w:tcPr>
          <w:p w14:paraId="35F65B7F" w14:textId="1FD650D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2025/1/21</w:t>
            </w:r>
          </w:p>
        </w:tc>
        <w:tc>
          <w:tcPr>
            <w:tcW w:w="1515" w:type="dxa"/>
            <w:vAlign w:val="center"/>
          </w:tcPr>
          <w:p w14:paraId="4720DDDE" w14:textId="7BE757A3"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52EC7978" w14:textId="7519EFC3"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50,024,083.51</w:t>
            </w:r>
          </w:p>
        </w:tc>
        <w:tc>
          <w:tcPr>
            <w:tcW w:w="1558" w:type="dxa"/>
            <w:vAlign w:val="center"/>
          </w:tcPr>
          <w:p w14:paraId="54FCD90B" w14:textId="7F100D3D"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97.79%</w:t>
            </w:r>
          </w:p>
        </w:tc>
        <w:tc>
          <w:tcPr>
            <w:tcW w:w="1844" w:type="dxa"/>
            <w:vAlign w:val="center"/>
          </w:tcPr>
          <w:p w14:paraId="031F5CC8" w14:textId="25D8D1AD"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3,440.43</w:t>
            </w:r>
          </w:p>
        </w:tc>
        <w:tc>
          <w:tcPr>
            <w:tcW w:w="1538" w:type="dxa"/>
            <w:vAlign w:val="center"/>
          </w:tcPr>
          <w:p w14:paraId="653719B4" w14:textId="09F09EB6"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r w:rsidR="00B21990" w14:paraId="33FE8877" w14:textId="77777777" w:rsidTr="00B21990">
        <w:trPr>
          <w:jc w:val="center"/>
        </w:trPr>
        <w:tc>
          <w:tcPr>
            <w:tcW w:w="1335" w:type="dxa"/>
            <w:vAlign w:val="center"/>
          </w:tcPr>
          <w:p w14:paraId="310331A1" w14:textId="46C5FAAC"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7</w:t>
            </w:r>
          </w:p>
        </w:tc>
        <w:tc>
          <w:tcPr>
            <w:tcW w:w="1560" w:type="dxa"/>
            <w:vAlign w:val="center"/>
          </w:tcPr>
          <w:p w14:paraId="6293ACA7" w14:textId="342E703A"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2025/1/22</w:t>
            </w:r>
          </w:p>
        </w:tc>
        <w:tc>
          <w:tcPr>
            <w:tcW w:w="1515" w:type="dxa"/>
            <w:vAlign w:val="center"/>
          </w:tcPr>
          <w:p w14:paraId="5653613A" w14:textId="74942F71"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机构</w:t>
            </w:r>
          </w:p>
        </w:tc>
        <w:tc>
          <w:tcPr>
            <w:tcW w:w="1930" w:type="dxa"/>
            <w:vAlign w:val="center"/>
          </w:tcPr>
          <w:p w14:paraId="57C5D0C0" w14:textId="73ED021A"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50,036,074.22</w:t>
            </w:r>
          </w:p>
        </w:tc>
        <w:tc>
          <w:tcPr>
            <w:tcW w:w="1558" w:type="dxa"/>
            <w:vAlign w:val="center"/>
          </w:tcPr>
          <w:p w14:paraId="5AE6380E" w14:textId="6676899E"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96.85%</w:t>
            </w:r>
          </w:p>
        </w:tc>
        <w:tc>
          <w:tcPr>
            <w:tcW w:w="1844" w:type="dxa"/>
            <w:vAlign w:val="center"/>
          </w:tcPr>
          <w:p w14:paraId="4D0156EA" w14:textId="6C8A5B12" w:rsidR="00B21990" w:rsidRPr="004F5823" w:rsidRDefault="00B21990" w:rsidP="00B21990">
            <w:pPr>
              <w:spacing w:before="240" w:line="360" w:lineRule="auto"/>
              <w:jc w:val="center"/>
              <w:rPr>
                <w:rFonts w:ascii="方正仿宋简体" w:eastAsia="方正仿宋简体" w:hint="eastAsia"/>
                <w:sz w:val="24"/>
                <w:szCs w:val="24"/>
                <w:shd w:val="clear" w:color="auto" w:fill="FFFFFF"/>
              </w:rPr>
            </w:pPr>
            <w:r w:rsidRPr="004F5823">
              <w:rPr>
                <w:rFonts w:ascii="方正仿宋简体" w:eastAsia="方正仿宋简体" w:hint="eastAsia"/>
                <w:sz w:val="24"/>
                <w:szCs w:val="24"/>
                <w:shd w:val="clear" w:color="auto" w:fill="FFFFFF"/>
              </w:rPr>
              <w:t>11,990.71</w:t>
            </w:r>
          </w:p>
        </w:tc>
        <w:tc>
          <w:tcPr>
            <w:tcW w:w="1538" w:type="dxa"/>
            <w:vAlign w:val="center"/>
          </w:tcPr>
          <w:p w14:paraId="47702314" w14:textId="12D4B83B" w:rsidR="00B21990" w:rsidRDefault="00B21990" w:rsidP="00B21990">
            <w:pPr>
              <w:spacing w:before="240" w:line="360" w:lineRule="auto"/>
              <w:jc w:val="center"/>
              <w:rPr>
                <w:rFonts w:ascii="方正仿宋简体" w:eastAsia="方正仿宋简体" w:hint="eastAsia"/>
                <w:sz w:val="24"/>
                <w:szCs w:val="24"/>
              </w:rPr>
            </w:pPr>
            <w:r>
              <w:rPr>
                <w:rFonts w:ascii="方正仿宋简体" w:eastAsia="方正仿宋简体" w:hint="eastAsia"/>
                <w:sz w:val="24"/>
                <w:szCs w:val="24"/>
              </w:rPr>
              <w:t>-</w:t>
            </w:r>
          </w:p>
        </w:tc>
      </w:tr>
    </w:tbl>
    <w:p w14:paraId="717B2568" w14:textId="77777777" w:rsidR="00FD04DE" w:rsidRDefault="00FD04DE" w:rsidP="00651A79">
      <w:pPr>
        <w:spacing w:before="240" w:afterLines="30" w:after="72" w:line="360" w:lineRule="auto"/>
        <w:rPr>
          <w:rFonts w:ascii="方正仿宋简体" w:eastAsia="方正仿宋简体" w:hAnsi="宋体" w:cs="宋体"/>
          <w:kern w:val="0"/>
          <w:sz w:val="24"/>
          <w:szCs w:val="24"/>
        </w:rPr>
      </w:pPr>
    </w:p>
    <w:p w14:paraId="1C56EB43" w14:textId="77777777" w:rsidR="00FD04DE" w:rsidRDefault="0068117A" w:rsidP="00651A79">
      <w:pPr>
        <w:spacing w:before="240" w:afterLines="30" w:after="72" w:line="360" w:lineRule="auto"/>
        <w:jc w:val="right"/>
        <w:rPr>
          <w:rFonts w:ascii="方正仿宋简体" w:eastAsia="方正仿宋简体" w:hAnsi="Calibri"/>
          <w:b/>
          <w:sz w:val="24"/>
          <w:szCs w:val="24"/>
        </w:rPr>
      </w:pPr>
      <w:proofErr w:type="gramStart"/>
      <w:r>
        <w:rPr>
          <w:rFonts w:ascii="方正仿宋简体" w:eastAsia="方正仿宋简体" w:hAnsi="Calibri" w:hint="eastAsia"/>
          <w:b/>
          <w:sz w:val="24"/>
          <w:szCs w:val="24"/>
        </w:rPr>
        <w:t>南银理财</w:t>
      </w:r>
      <w:proofErr w:type="gramEnd"/>
      <w:r>
        <w:rPr>
          <w:rFonts w:ascii="方正仿宋简体" w:eastAsia="方正仿宋简体" w:hAnsi="Calibri" w:hint="eastAsia"/>
          <w:b/>
          <w:sz w:val="24"/>
          <w:szCs w:val="24"/>
        </w:rPr>
        <w:t>有限责任公司</w:t>
      </w:r>
    </w:p>
    <w:p w14:paraId="4D8C3325" w14:textId="77777777" w:rsidR="00FD04DE" w:rsidRDefault="0068117A" w:rsidP="00DE76CB">
      <w:pPr>
        <w:spacing w:before="240" w:afterLines="30" w:after="72"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FD04DE" w:rsidSect="00FD04DE">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9D6B0" w14:textId="77777777" w:rsidR="00C44011" w:rsidRDefault="00C44011" w:rsidP="00FD04DE">
      <w:r>
        <w:separator/>
      </w:r>
    </w:p>
  </w:endnote>
  <w:endnote w:type="continuationSeparator" w:id="0">
    <w:p w14:paraId="619B58B3" w14:textId="77777777" w:rsidR="00C44011" w:rsidRDefault="00C44011" w:rsidP="00FD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7079" w14:textId="77777777" w:rsidR="00FD04DE" w:rsidRDefault="00DE76CB">
    <w:pPr>
      <w:pStyle w:val="a7"/>
      <w:framePr w:wrap="around" w:vAnchor="text" w:hAnchor="margin" w:xAlign="center" w:y="1"/>
      <w:rPr>
        <w:rStyle w:val="af0"/>
      </w:rPr>
    </w:pPr>
    <w:r>
      <w:fldChar w:fldCharType="begin"/>
    </w:r>
    <w:r w:rsidR="0068117A">
      <w:rPr>
        <w:rStyle w:val="af0"/>
      </w:rPr>
      <w:instrText xml:space="preserve">PAGE  </w:instrText>
    </w:r>
    <w:r>
      <w:fldChar w:fldCharType="end"/>
    </w:r>
  </w:p>
  <w:p w14:paraId="24BAAC06" w14:textId="77777777" w:rsidR="00FD04DE" w:rsidRDefault="00FD04D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49B7" w14:textId="77777777" w:rsidR="00FD04DE" w:rsidRDefault="00FD04DE">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A8006" w14:textId="77777777" w:rsidR="00C44011" w:rsidRDefault="00C44011" w:rsidP="00FD04DE">
      <w:r>
        <w:separator/>
      </w:r>
    </w:p>
  </w:footnote>
  <w:footnote w:type="continuationSeparator" w:id="0">
    <w:p w14:paraId="021CAE34" w14:textId="77777777" w:rsidR="00C44011" w:rsidRDefault="00C44011" w:rsidP="00FD0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1EE4A" w14:textId="77777777" w:rsidR="00FD04DE" w:rsidRDefault="00FD04DE">
    <w:pPr>
      <w:pStyle w:val="a9"/>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2A6D" w14:textId="77777777" w:rsidR="00FD04DE" w:rsidRDefault="00FD04DE">
    <w:pPr>
      <w:pStyle w:val="a9"/>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noPunctuationKerning/>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172A27"/>
    <w:rsid w:val="00000A95"/>
    <w:rsid w:val="000060E5"/>
    <w:rsid w:val="00015019"/>
    <w:rsid w:val="000234FF"/>
    <w:rsid w:val="00026D52"/>
    <w:rsid w:val="000318AA"/>
    <w:rsid w:val="00034FF6"/>
    <w:rsid w:val="000367D9"/>
    <w:rsid w:val="00044BFF"/>
    <w:rsid w:val="000470C2"/>
    <w:rsid w:val="0005474A"/>
    <w:rsid w:val="00061725"/>
    <w:rsid w:val="000633AA"/>
    <w:rsid w:val="00066A9A"/>
    <w:rsid w:val="000737ED"/>
    <w:rsid w:val="00095B95"/>
    <w:rsid w:val="00095BB4"/>
    <w:rsid w:val="000A3711"/>
    <w:rsid w:val="000D5066"/>
    <w:rsid w:val="000E1673"/>
    <w:rsid w:val="000E6ACE"/>
    <w:rsid w:val="000F06ED"/>
    <w:rsid w:val="000F27F1"/>
    <w:rsid w:val="000F6191"/>
    <w:rsid w:val="00117505"/>
    <w:rsid w:val="001279EA"/>
    <w:rsid w:val="00130CE8"/>
    <w:rsid w:val="0013364F"/>
    <w:rsid w:val="00141AB4"/>
    <w:rsid w:val="0014449D"/>
    <w:rsid w:val="00150E2C"/>
    <w:rsid w:val="00152201"/>
    <w:rsid w:val="00172A27"/>
    <w:rsid w:val="00173478"/>
    <w:rsid w:val="001735BA"/>
    <w:rsid w:val="00176636"/>
    <w:rsid w:val="00183C84"/>
    <w:rsid w:val="001B497D"/>
    <w:rsid w:val="001C05F9"/>
    <w:rsid w:val="001C3860"/>
    <w:rsid w:val="001C5395"/>
    <w:rsid w:val="001E2EEA"/>
    <w:rsid w:val="001E5905"/>
    <w:rsid w:val="001E7120"/>
    <w:rsid w:val="002051AF"/>
    <w:rsid w:val="00211F26"/>
    <w:rsid w:val="00220B2B"/>
    <w:rsid w:val="00224D9D"/>
    <w:rsid w:val="00225D2E"/>
    <w:rsid w:val="002263FC"/>
    <w:rsid w:val="002448E3"/>
    <w:rsid w:val="00247593"/>
    <w:rsid w:val="00247A0A"/>
    <w:rsid w:val="00290B55"/>
    <w:rsid w:val="00295E85"/>
    <w:rsid w:val="002A3AE9"/>
    <w:rsid w:val="002A405A"/>
    <w:rsid w:val="002B7F5A"/>
    <w:rsid w:val="002C196E"/>
    <w:rsid w:val="002D2DB0"/>
    <w:rsid w:val="002D75D0"/>
    <w:rsid w:val="002E7131"/>
    <w:rsid w:val="002E795C"/>
    <w:rsid w:val="00301467"/>
    <w:rsid w:val="00302167"/>
    <w:rsid w:val="00305714"/>
    <w:rsid w:val="00313E71"/>
    <w:rsid w:val="00321CB7"/>
    <w:rsid w:val="003379A9"/>
    <w:rsid w:val="00341B28"/>
    <w:rsid w:val="00350ADF"/>
    <w:rsid w:val="00355623"/>
    <w:rsid w:val="00387F9B"/>
    <w:rsid w:val="003A0419"/>
    <w:rsid w:val="003B117F"/>
    <w:rsid w:val="003B4AB4"/>
    <w:rsid w:val="003C4D3B"/>
    <w:rsid w:val="003E09EA"/>
    <w:rsid w:val="003E412C"/>
    <w:rsid w:val="003F098E"/>
    <w:rsid w:val="003F0AC3"/>
    <w:rsid w:val="00433022"/>
    <w:rsid w:val="00455600"/>
    <w:rsid w:val="00456251"/>
    <w:rsid w:val="004A0363"/>
    <w:rsid w:val="004A156A"/>
    <w:rsid w:val="004B5DED"/>
    <w:rsid w:val="004C1607"/>
    <w:rsid w:val="004E621E"/>
    <w:rsid w:val="004F2359"/>
    <w:rsid w:val="004F313C"/>
    <w:rsid w:val="0050244A"/>
    <w:rsid w:val="005069D8"/>
    <w:rsid w:val="0051077F"/>
    <w:rsid w:val="00522179"/>
    <w:rsid w:val="00522858"/>
    <w:rsid w:val="005574DF"/>
    <w:rsid w:val="0056162E"/>
    <w:rsid w:val="00563B93"/>
    <w:rsid w:val="00565BF6"/>
    <w:rsid w:val="00567DB3"/>
    <w:rsid w:val="00594CF2"/>
    <w:rsid w:val="005B272E"/>
    <w:rsid w:val="005B3434"/>
    <w:rsid w:val="005B7384"/>
    <w:rsid w:val="005D5ED6"/>
    <w:rsid w:val="005D7503"/>
    <w:rsid w:val="005E0686"/>
    <w:rsid w:val="005E2884"/>
    <w:rsid w:val="005E40C5"/>
    <w:rsid w:val="005E5050"/>
    <w:rsid w:val="005F0633"/>
    <w:rsid w:val="005F2C7B"/>
    <w:rsid w:val="005F4D04"/>
    <w:rsid w:val="005F7DA9"/>
    <w:rsid w:val="006054F8"/>
    <w:rsid w:val="00617E25"/>
    <w:rsid w:val="00645514"/>
    <w:rsid w:val="00651A79"/>
    <w:rsid w:val="0065419A"/>
    <w:rsid w:val="00654220"/>
    <w:rsid w:val="006624C2"/>
    <w:rsid w:val="00663B94"/>
    <w:rsid w:val="00676076"/>
    <w:rsid w:val="00677CEA"/>
    <w:rsid w:val="00677F66"/>
    <w:rsid w:val="0068117A"/>
    <w:rsid w:val="006C1014"/>
    <w:rsid w:val="006D5D22"/>
    <w:rsid w:val="006E3BA0"/>
    <w:rsid w:val="006E4E94"/>
    <w:rsid w:val="006E70D5"/>
    <w:rsid w:val="006F69B2"/>
    <w:rsid w:val="007017D8"/>
    <w:rsid w:val="00730BEE"/>
    <w:rsid w:val="0073101E"/>
    <w:rsid w:val="00733378"/>
    <w:rsid w:val="00735153"/>
    <w:rsid w:val="00735E29"/>
    <w:rsid w:val="00745421"/>
    <w:rsid w:val="00745F96"/>
    <w:rsid w:val="0074729D"/>
    <w:rsid w:val="00782F29"/>
    <w:rsid w:val="00796214"/>
    <w:rsid w:val="007A4219"/>
    <w:rsid w:val="007B08DF"/>
    <w:rsid w:val="007C4F56"/>
    <w:rsid w:val="007C516D"/>
    <w:rsid w:val="007E0B6E"/>
    <w:rsid w:val="007E4637"/>
    <w:rsid w:val="007E6537"/>
    <w:rsid w:val="00800690"/>
    <w:rsid w:val="0080200C"/>
    <w:rsid w:val="00802D0C"/>
    <w:rsid w:val="00814110"/>
    <w:rsid w:val="00822116"/>
    <w:rsid w:val="0082561A"/>
    <w:rsid w:val="0083403C"/>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F099C"/>
    <w:rsid w:val="008F0FA3"/>
    <w:rsid w:val="00900D90"/>
    <w:rsid w:val="0090315A"/>
    <w:rsid w:val="00907C39"/>
    <w:rsid w:val="009354D6"/>
    <w:rsid w:val="00956754"/>
    <w:rsid w:val="009679B0"/>
    <w:rsid w:val="00970A98"/>
    <w:rsid w:val="00977E89"/>
    <w:rsid w:val="00991B0F"/>
    <w:rsid w:val="009A00E4"/>
    <w:rsid w:val="009A4E79"/>
    <w:rsid w:val="009B1695"/>
    <w:rsid w:val="009B2EEF"/>
    <w:rsid w:val="009B50F2"/>
    <w:rsid w:val="009C6A99"/>
    <w:rsid w:val="009C781F"/>
    <w:rsid w:val="009D5296"/>
    <w:rsid w:val="009E6170"/>
    <w:rsid w:val="009F1FD4"/>
    <w:rsid w:val="009F4338"/>
    <w:rsid w:val="00A061C5"/>
    <w:rsid w:val="00A204A0"/>
    <w:rsid w:val="00A30A44"/>
    <w:rsid w:val="00A4484F"/>
    <w:rsid w:val="00A66D8E"/>
    <w:rsid w:val="00A7328D"/>
    <w:rsid w:val="00A76D4B"/>
    <w:rsid w:val="00A77C47"/>
    <w:rsid w:val="00A8398D"/>
    <w:rsid w:val="00A9119C"/>
    <w:rsid w:val="00A94A56"/>
    <w:rsid w:val="00AA36EB"/>
    <w:rsid w:val="00AA3DCD"/>
    <w:rsid w:val="00AA4549"/>
    <w:rsid w:val="00AA5B04"/>
    <w:rsid w:val="00AA6CFF"/>
    <w:rsid w:val="00AC3D79"/>
    <w:rsid w:val="00AC5144"/>
    <w:rsid w:val="00AD3853"/>
    <w:rsid w:val="00AF7510"/>
    <w:rsid w:val="00B13014"/>
    <w:rsid w:val="00B17559"/>
    <w:rsid w:val="00B176FA"/>
    <w:rsid w:val="00B21990"/>
    <w:rsid w:val="00B21BF0"/>
    <w:rsid w:val="00B23E1D"/>
    <w:rsid w:val="00B33978"/>
    <w:rsid w:val="00B33B19"/>
    <w:rsid w:val="00B3722F"/>
    <w:rsid w:val="00B404E6"/>
    <w:rsid w:val="00B4360D"/>
    <w:rsid w:val="00B534AE"/>
    <w:rsid w:val="00B61EA9"/>
    <w:rsid w:val="00B62586"/>
    <w:rsid w:val="00B670D1"/>
    <w:rsid w:val="00B74DCA"/>
    <w:rsid w:val="00B763A5"/>
    <w:rsid w:val="00B94CD4"/>
    <w:rsid w:val="00B964AE"/>
    <w:rsid w:val="00BA2C7F"/>
    <w:rsid w:val="00BA5103"/>
    <w:rsid w:val="00BA632A"/>
    <w:rsid w:val="00BC3903"/>
    <w:rsid w:val="00BE106D"/>
    <w:rsid w:val="00BE227A"/>
    <w:rsid w:val="00BE47E0"/>
    <w:rsid w:val="00BF3D9D"/>
    <w:rsid w:val="00BF75C8"/>
    <w:rsid w:val="00C00058"/>
    <w:rsid w:val="00C0286D"/>
    <w:rsid w:val="00C11797"/>
    <w:rsid w:val="00C15C25"/>
    <w:rsid w:val="00C1762E"/>
    <w:rsid w:val="00C20F36"/>
    <w:rsid w:val="00C20F84"/>
    <w:rsid w:val="00C25123"/>
    <w:rsid w:val="00C2582A"/>
    <w:rsid w:val="00C30A48"/>
    <w:rsid w:val="00C375A7"/>
    <w:rsid w:val="00C44011"/>
    <w:rsid w:val="00C44DFE"/>
    <w:rsid w:val="00C62DF8"/>
    <w:rsid w:val="00C640FB"/>
    <w:rsid w:val="00C86023"/>
    <w:rsid w:val="00C94EBA"/>
    <w:rsid w:val="00C973B4"/>
    <w:rsid w:val="00CA2770"/>
    <w:rsid w:val="00CB054E"/>
    <w:rsid w:val="00CC52D7"/>
    <w:rsid w:val="00CE4DED"/>
    <w:rsid w:val="00D04811"/>
    <w:rsid w:val="00D20F53"/>
    <w:rsid w:val="00D23611"/>
    <w:rsid w:val="00D23AB6"/>
    <w:rsid w:val="00D50309"/>
    <w:rsid w:val="00D51AA9"/>
    <w:rsid w:val="00D57677"/>
    <w:rsid w:val="00D7264A"/>
    <w:rsid w:val="00D84E43"/>
    <w:rsid w:val="00D870DF"/>
    <w:rsid w:val="00DA30A0"/>
    <w:rsid w:val="00DB0C2F"/>
    <w:rsid w:val="00DB3BF6"/>
    <w:rsid w:val="00DB56A2"/>
    <w:rsid w:val="00DC31CC"/>
    <w:rsid w:val="00DC728A"/>
    <w:rsid w:val="00DD2F3C"/>
    <w:rsid w:val="00DD4A55"/>
    <w:rsid w:val="00DD65B5"/>
    <w:rsid w:val="00DD782E"/>
    <w:rsid w:val="00DE76CB"/>
    <w:rsid w:val="00DF6907"/>
    <w:rsid w:val="00E1059D"/>
    <w:rsid w:val="00E126A1"/>
    <w:rsid w:val="00E12955"/>
    <w:rsid w:val="00E155DF"/>
    <w:rsid w:val="00E174FA"/>
    <w:rsid w:val="00E246E1"/>
    <w:rsid w:val="00E314CE"/>
    <w:rsid w:val="00E340F5"/>
    <w:rsid w:val="00E514EB"/>
    <w:rsid w:val="00E52823"/>
    <w:rsid w:val="00E52B10"/>
    <w:rsid w:val="00E600D0"/>
    <w:rsid w:val="00E7192D"/>
    <w:rsid w:val="00E944FA"/>
    <w:rsid w:val="00E9797A"/>
    <w:rsid w:val="00EB0DB4"/>
    <w:rsid w:val="00EB44BE"/>
    <w:rsid w:val="00ED1047"/>
    <w:rsid w:val="00ED781F"/>
    <w:rsid w:val="00EE0436"/>
    <w:rsid w:val="00EE2819"/>
    <w:rsid w:val="00EF04A5"/>
    <w:rsid w:val="00F258C8"/>
    <w:rsid w:val="00F30035"/>
    <w:rsid w:val="00F33E30"/>
    <w:rsid w:val="00F41324"/>
    <w:rsid w:val="00F47D39"/>
    <w:rsid w:val="00F47E18"/>
    <w:rsid w:val="00F57C12"/>
    <w:rsid w:val="00F609FD"/>
    <w:rsid w:val="00F64BD9"/>
    <w:rsid w:val="00F65ACC"/>
    <w:rsid w:val="00F7052D"/>
    <w:rsid w:val="00F771E3"/>
    <w:rsid w:val="00F8162C"/>
    <w:rsid w:val="00F859AB"/>
    <w:rsid w:val="00F950D0"/>
    <w:rsid w:val="00FA0110"/>
    <w:rsid w:val="00FA2C26"/>
    <w:rsid w:val="00FA4F66"/>
    <w:rsid w:val="00FC027F"/>
    <w:rsid w:val="00FC61B9"/>
    <w:rsid w:val="00FD04DE"/>
    <w:rsid w:val="00FD1F12"/>
    <w:rsid w:val="00FD412B"/>
    <w:rsid w:val="00FF26C8"/>
    <w:rsid w:val="016D581F"/>
    <w:rsid w:val="030F2BA7"/>
    <w:rsid w:val="04240CEE"/>
    <w:rsid w:val="065551D3"/>
    <w:rsid w:val="06C37561"/>
    <w:rsid w:val="0A236A5A"/>
    <w:rsid w:val="0EE72DE1"/>
    <w:rsid w:val="0FC27AFF"/>
    <w:rsid w:val="10992483"/>
    <w:rsid w:val="111D4539"/>
    <w:rsid w:val="13297F9C"/>
    <w:rsid w:val="134727C6"/>
    <w:rsid w:val="141A5102"/>
    <w:rsid w:val="14E8025C"/>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C753CC7"/>
    <w:rsid w:val="3F2C3B54"/>
    <w:rsid w:val="40990310"/>
    <w:rsid w:val="459870AF"/>
    <w:rsid w:val="45ED49CE"/>
    <w:rsid w:val="46F0109E"/>
    <w:rsid w:val="47475A63"/>
    <w:rsid w:val="4E276A76"/>
    <w:rsid w:val="509017BA"/>
    <w:rsid w:val="51482FC3"/>
    <w:rsid w:val="52830253"/>
    <w:rsid w:val="541C469D"/>
    <w:rsid w:val="55584B9A"/>
    <w:rsid w:val="5BC1648F"/>
    <w:rsid w:val="5BE61B5E"/>
    <w:rsid w:val="602D020F"/>
    <w:rsid w:val="64C67B5C"/>
    <w:rsid w:val="66F47EBC"/>
    <w:rsid w:val="681903E9"/>
    <w:rsid w:val="68823415"/>
    <w:rsid w:val="6898111C"/>
    <w:rsid w:val="6A485270"/>
    <w:rsid w:val="6D05415D"/>
    <w:rsid w:val="6F66394D"/>
    <w:rsid w:val="73193673"/>
    <w:rsid w:val="74543F24"/>
    <w:rsid w:val="74BE328D"/>
    <w:rsid w:val="780E0FCF"/>
    <w:rsid w:val="78C453A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08787C"/>
  <w15:docId w15:val="{CBA78BA6-EE58-4085-8059-04FB48FC4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4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FD04DE"/>
    <w:pPr>
      <w:jc w:val="left"/>
    </w:pPr>
  </w:style>
  <w:style w:type="paragraph" w:styleId="a5">
    <w:name w:val="Balloon Text"/>
    <w:basedOn w:val="a"/>
    <w:link w:val="a6"/>
    <w:uiPriority w:val="99"/>
    <w:unhideWhenUsed/>
    <w:qFormat/>
    <w:rsid w:val="00FD04DE"/>
    <w:rPr>
      <w:sz w:val="18"/>
      <w:szCs w:val="18"/>
    </w:rPr>
  </w:style>
  <w:style w:type="paragraph" w:styleId="a7">
    <w:name w:val="footer"/>
    <w:basedOn w:val="a"/>
    <w:link w:val="a8"/>
    <w:uiPriority w:val="99"/>
    <w:unhideWhenUsed/>
    <w:qFormat/>
    <w:rsid w:val="00FD04DE"/>
    <w:pPr>
      <w:tabs>
        <w:tab w:val="center" w:pos="4153"/>
        <w:tab w:val="right" w:pos="8306"/>
      </w:tabs>
      <w:snapToGrid w:val="0"/>
      <w:jc w:val="left"/>
    </w:pPr>
    <w:rPr>
      <w:sz w:val="18"/>
      <w:szCs w:val="18"/>
    </w:rPr>
  </w:style>
  <w:style w:type="paragraph" w:styleId="a9">
    <w:name w:val="header"/>
    <w:basedOn w:val="a"/>
    <w:link w:val="aa"/>
    <w:uiPriority w:val="99"/>
    <w:unhideWhenUsed/>
    <w:qFormat/>
    <w:rsid w:val="00FD04DE"/>
    <w:pPr>
      <w:pBdr>
        <w:bottom w:val="single" w:sz="6" w:space="1" w:color="auto"/>
      </w:pBdr>
      <w:tabs>
        <w:tab w:val="center" w:pos="4153"/>
        <w:tab w:val="right" w:pos="8306"/>
      </w:tabs>
      <w:snapToGrid w:val="0"/>
      <w:jc w:val="center"/>
    </w:pPr>
    <w:rPr>
      <w:sz w:val="18"/>
      <w:szCs w:val="18"/>
    </w:rPr>
  </w:style>
  <w:style w:type="paragraph" w:styleId="ab">
    <w:name w:val="footnote text"/>
    <w:basedOn w:val="a"/>
    <w:uiPriority w:val="99"/>
    <w:unhideWhenUsed/>
    <w:qFormat/>
    <w:rsid w:val="00FD04DE"/>
    <w:pPr>
      <w:snapToGrid w:val="0"/>
      <w:jc w:val="left"/>
    </w:pPr>
    <w:rPr>
      <w:sz w:val="18"/>
    </w:rPr>
  </w:style>
  <w:style w:type="paragraph" w:styleId="ac">
    <w:name w:val="Normal (Web)"/>
    <w:basedOn w:val="a"/>
    <w:qFormat/>
    <w:rsid w:val="00FD04DE"/>
    <w:pPr>
      <w:widowControl/>
      <w:spacing w:before="100" w:beforeAutospacing="1" w:after="100" w:afterAutospacing="1"/>
      <w:jc w:val="left"/>
    </w:pPr>
    <w:rPr>
      <w:rFonts w:ascii="宋体" w:hAnsi="宋体"/>
      <w:kern w:val="0"/>
      <w:sz w:val="24"/>
      <w:szCs w:val="24"/>
    </w:rPr>
  </w:style>
  <w:style w:type="paragraph" w:styleId="ad">
    <w:name w:val="annotation subject"/>
    <w:basedOn w:val="a3"/>
    <w:next w:val="a3"/>
    <w:link w:val="ae"/>
    <w:uiPriority w:val="99"/>
    <w:unhideWhenUsed/>
    <w:qFormat/>
    <w:rsid w:val="00FD04DE"/>
    <w:rPr>
      <w:b/>
      <w:bCs/>
    </w:rPr>
  </w:style>
  <w:style w:type="table" w:styleId="af">
    <w:name w:val="Table Grid"/>
    <w:basedOn w:val="a1"/>
    <w:uiPriority w:val="59"/>
    <w:qFormat/>
    <w:rsid w:val="00FD0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unhideWhenUsed/>
    <w:qFormat/>
    <w:rsid w:val="00FD04DE"/>
  </w:style>
  <w:style w:type="character" w:styleId="af1">
    <w:name w:val="annotation reference"/>
    <w:uiPriority w:val="99"/>
    <w:unhideWhenUsed/>
    <w:qFormat/>
    <w:rsid w:val="00FD04DE"/>
    <w:rPr>
      <w:sz w:val="21"/>
      <w:szCs w:val="21"/>
    </w:rPr>
  </w:style>
  <w:style w:type="character" w:styleId="af2">
    <w:name w:val="footnote reference"/>
    <w:uiPriority w:val="99"/>
    <w:unhideWhenUsed/>
    <w:qFormat/>
    <w:rsid w:val="00FD04DE"/>
    <w:rPr>
      <w:vertAlign w:val="superscript"/>
    </w:rPr>
  </w:style>
  <w:style w:type="character" w:customStyle="1" w:styleId="a6">
    <w:name w:val="批注框文本 字符"/>
    <w:link w:val="a5"/>
    <w:uiPriority w:val="99"/>
    <w:semiHidden/>
    <w:qFormat/>
    <w:rsid w:val="00FD04DE"/>
    <w:rPr>
      <w:kern w:val="2"/>
      <w:sz w:val="18"/>
      <w:szCs w:val="18"/>
    </w:rPr>
  </w:style>
  <w:style w:type="character" w:customStyle="1" w:styleId="aa">
    <w:name w:val="页眉 字符"/>
    <w:link w:val="a9"/>
    <w:uiPriority w:val="99"/>
    <w:semiHidden/>
    <w:qFormat/>
    <w:locked/>
    <w:rsid w:val="00FD04DE"/>
    <w:rPr>
      <w:rFonts w:ascii="Times New Roman" w:hAnsi="Times New Roman" w:cs="Times New Roman" w:hint="default"/>
      <w:sz w:val="18"/>
      <w:szCs w:val="18"/>
    </w:rPr>
  </w:style>
  <w:style w:type="character" w:customStyle="1" w:styleId="ae">
    <w:name w:val="批注主题 字符"/>
    <w:link w:val="ad"/>
    <w:uiPriority w:val="99"/>
    <w:semiHidden/>
    <w:qFormat/>
    <w:rsid w:val="00FD04DE"/>
    <w:rPr>
      <w:b/>
      <w:bCs/>
      <w:kern w:val="2"/>
      <w:sz w:val="21"/>
      <w:szCs w:val="22"/>
    </w:rPr>
  </w:style>
  <w:style w:type="character" w:customStyle="1" w:styleId="a8">
    <w:name w:val="页脚 字符"/>
    <w:link w:val="a7"/>
    <w:uiPriority w:val="99"/>
    <w:semiHidden/>
    <w:qFormat/>
    <w:locked/>
    <w:rsid w:val="00FD04DE"/>
    <w:rPr>
      <w:rFonts w:ascii="Times New Roman" w:hAnsi="Times New Roman" w:cs="Times New Roman" w:hint="default"/>
      <w:sz w:val="18"/>
      <w:szCs w:val="18"/>
    </w:rPr>
  </w:style>
  <w:style w:type="character" w:customStyle="1" w:styleId="a4">
    <w:name w:val="批注文字 字符"/>
    <w:link w:val="a3"/>
    <w:uiPriority w:val="99"/>
    <w:qFormat/>
    <w:rsid w:val="00FD04DE"/>
    <w:rPr>
      <w:kern w:val="2"/>
      <w:sz w:val="21"/>
      <w:szCs w:val="22"/>
    </w:rPr>
  </w:style>
  <w:style w:type="paragraph" w:customStyle="1" w:styleId="zhongyaotishi">
    <w:name w:val="zhongyaotishi"/>
    <w:basedOn w:val="a"/>
    <w:qFormat/>
    <w:rsid w:val="00FD04DE"/>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FD04D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FD04D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FD04DE"/>
    <w:pPr>
      <w:widowControl w:val="0"/>
      <w:jc w:val="center"/>
    </w:pPr>
    <w:rPr>
      <w:kern w:val="2"/>
      <w:sz w:val="33"/>
      <w:szCs w:val="22"/>
    </w:rPr>
  </w:style>
  <w:style w:type="paragraph" w:customStyle="1" w:styleId="biaogeleft">
    <w:name w:val="biaoge_left"/>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FD04D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FD04D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FD04DE"/>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FD04DE"/>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FD04DE"/>
    <w:pPr>
      <w:widowControl w:val="0"/>
    </w:pPr>
    <w:rPr>
      <w:kern w:val="2"/>
      <w:sz w:val="21"/>
      <w:szCs w:val="22"/>
    </w:rPr>
  </w:style>
  <w:style w:type="paragraph" w:customStyle="1" w:styleId="neirong">
    <w:name w:val="neirong"/>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FD04DE"/>
    <w:pPr>
      <w:jc w:val="both"/>
    </w:pPr>
    <w:rPr>
      <w:kern w:val="2"/>
      <w:sz w:val="21"/>
      <w:szCs w:val="21"/>
    </w:rPr>
  </w:style>
  <w:style w:type="paragraph" w:customStyle="1" w:styleId="Default">
    <w:name w:val="Default"/>
    <w:qFormat/>
    <w:rsid w:val="00FD04DE"/>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8A1BB-1FCB-4050-B290-013ED83B5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582</Words>
  <Characters>3324</Characters>
  <Application>Microsoft Office Word</Application>
  <DocSecurity>0</DocSecurity>
  <Lines>27</Lines>
  <Paragraphs>7</Paragraphs>
  <ScaleCrop>false</ScaleCrop>
  <Company>微软中国</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总行金融市场部本币投资交易部梅浩超</dc:creator>
  <cp:lastModifiedBy>PC</cp:lastModifiedBy>
  <cp:revision>49</cp:revision>
  <cp:lastPrinted>2019-09-11T00:56:00Z</cp:lastPrinted>
  <dcterms:created xsi:type="dcterms:W3CDTF">2022-08-03T07:49:00Z</dcterms:created>
  <dcterms:modified xsi:type="dcterms:W3CDTF">2025-09-03T03:16:00Z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05675B71ACAB471C8C2DFDDC11AEA90C</vt:lpwstr>
  </property>
</Properties>
</file>