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恒源1年定开2006期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“苏银理财</w:t>
      </w:r>
      <w:r>
        <w:rPr>
          <w:rFonts w:hint="eastAsia" w:ascii="楷体" w:hAnsi="楷体" w:eastAsia="楷体"/>
          <w:sz w:val="28"/>
          <w:szCs w:val="28"/>
          <w:lang w:eastAsia="zh-CN"/>
        </w:rPr>
        <w:t>恒源1年定开2006期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10</w:t>
      </w:r>
      <w:r>
        <w:rPr>
          <w:rFonts w:hint="eastAsia" w:ascii="楷体" w:hAnsi="楷体" w:eastAsia="楷体"/>
          <w:sz w:val="28"/>
          <w:szCs w:val="28"/>
          <w:lang w:eastAsia="zh-CN"/>
        </w:rPr>
        <w:t>月</w:t>
      </w:r>
      <w:r>
        <w:rPr>
          <w:rFonts w:hint="eastAsia" w:ascii="楷体" w:hAnsi="楷体" w:eastAsia="楷体"/>
          <w:sz w:val="28"/>
          <w:szCs w:val="28"/>
          <w:lang w:val="en-US" w:eastAsia="zh-CN"/>
        </w:rPr>
        <w:t>24</w:t>
      </w:r>
      <w:r>
        <w:rPr>
          <w:rFonts w:hint="eastAsia" w:ascii="楷体" w:hAnsi="楷体" w:eastAsia="楷体"/>
          <w:sz w:val="28"/>
          <w:szCs w:val="28"/>
          <w:lang w:eastAsia="zh-CN"/>
        </w:rPr>
        <w:t>日至202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11</w:t>
      </w:r>
      <w:r>
        <w:rPr>
          <w:rFonts w:hint="eastAsia" w:ascii="楷体" w:hAnsi="楷体" w:eastAsia="楷体"/>
          <w:sz w:val="28"/>
          <w:szCs w:val="28"/>
          <w:lang w:eastAsia="zh-CN"/>
        </w:rPr>
        <w:t>月</w:t>
      </w:r>
      <w:r>
        <w:rPr>
          <w:rFonts w:hint="eastAsia" w:ascii="楷体" w:hAnsi="楷体" w:eastAsia="楷体"/>
          <w:sz w:val="28"/>
          <w:szCs w:val="28"/>
          <w:lang w:val="en-US" w:eastAsia="zh-CN"/>
        </w:rPr>
        <w:t>3</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2"/>
        <w:gridCol w:w="6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383"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856"/>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1312"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恒源1年定开2006期</w:t>
                  </w:r>
                  <w:r>
                    <w:rPr>
                      <w:rFonts w:hint="eastAsia" w:ascii="楷体" w:hAnsi="楷体" w:eastAsia="楷体" w:cs="宋体"/>
                      <w:spacing w:val="-2"/>
                      <w:sz w:val="18"/>
                      <w:szCs w:val="18"/>
                      <w:highlight w:val="none"/>
                      <w:lang w:val="en-US" w:eastAsia="zh-CN"/>
                    </w:rPr>
                    <w:t>P</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J09299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恒源1年定开2006期</w:t>
                  </w:r>
                  <w:r>
                    <w:rPr>
                      <w:rFonts w:hint="eastAsia" w:ascii="楷体" w:hAnsi="楷体" w:eastAsia="楷体" w:cs="宋体"/>
                      <w:spacing w:val="-2"/>
                      <w:sz w:val="18"/>
                      <w:szCs w:val="18"/>
                      <w:highlight w:val="none"/>
                      <w:lang w:val="en-US" w:eastAsia="zh-CN"/>
                    </w:rPr>
                    <w:t>T</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J09300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苏银理财恒源1年定开2006期ZN（自动赎回）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J09301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苏银理财恒源1年定开2006期ZQ（自动赎回）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J09302</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383" w:type="dxa"/>
            <w:noWrap w:val="0"/>
            <w:vAlign w:val="center"/>
          </w:tcPr>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面向高净值客户和白名单客户销售，具体以销售机构设置为准。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bl>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1" w:hRule="atLeast"/>
          <w:jc w:val="center"/>
        </w:trPr>
        <w:tc>
          <w:tcPr>
            <w:tcW w:w="2052" w:type="dxa"/>
            <w:noWrap w:val="0"/>
            <w:vAlign w:val="center"/>
          </w:tcPr>
          <w:p>
            <w:pPr>
              <w:pStyle w:val="11"/>
              <w:keepNext w:val="0"/>
              <w:keepLines w:val="0"/>
              <w:pageBreakBefore w:val="0"/>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vertAlign w:val="baseline"/>
              </w:rPr>
            </w:pPr>
            <w:r>
              <w:rPr>
                <w:rFonts w:hint="eastAsia" w:ascii="楷体" w:hAnsi="楷体" w:eastAsia="楷体" w:cs="Times New Roman"/>
                <w:b/>
                <w:bCs/>
                <w:sz w:val="21"/>
                <w:szCs w:val="21"/>
              </w:rPr>
              <w:t>购买起点/追加金额</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500,000元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10,000元的整数倍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bl>
          <w:p>
            <w:pPr>
              <w:pStyle w:val="30"/>
              <w:kinsoku w:val="0"/>
              <w:overflowPunct w:val="0"/>
              <w:spacing w:before="12"/>
              <w:ind w:right="73" w:rightChars="35"/>
              <w:jc w:val="both"/>
              <w:rPr>
                <w:rFonts w:hint="eastAsia" w:ascii="楷体" w:hAnsi="楷体" w:eastAsia="楷体" w:cs="Times New Roman"/>
                <w:b/>
                <w:bCs/>
                <w:sz w:val="21"/>
                <w:szCs w:val="21"/>
                <w:vertAlign w:val="baseline"/>
              </w:rPr>
            </w:pPr>
            <w:r>
              <w:rPr>
                <w:rFonts w:hint="eastAsia" w:ascii="楷体" w:hAnsi="楷体" w:eastAsia="楷体" w:cs="宋体"/>
                <w:spacing w:val="-2"/>
                <w:sz w:val="21"/>
                <w:szCs w:val="21"/>
                <w:highlight w:val="none"/>
              </w:rPr>
              <w:t>（以</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2025年11月4日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5"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6"/>
              <w:gridCol w:w="4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464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开放计划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按投资周期开放申购与赎回，投资者可在每个投资周期终止日前7</w:t>
                  </w:r>
                  <w:r>
                    <w:rPr>
                      <w:rFonts w:hint="eastAsia" w:ascii="楷体" w:hAnsi="楷体" w:eastAsia="楷体" w:cs="宋体"/>
                      <w:spacing w:val="-2"/>
                      <w:sz w:val="18"/>
                      <w:szCs w:val="18"/>
                      <w:highlight w:val="none"/>
                      <w:lang w:val="en-US" w:eastAsia="zh-CN"/>
                    </w:rPr>
                    <w:t>个工作</w:t>
                  </w:r>
                  <w:r>
                    <w:rPr>
                      <w:rFonts w:hint="eastAsia" w:ascii="楷体" w:hAnsi="楷体" w:eastAsia="楷体" w:cs="宋体"/>
                      <w:spacing w:val="-2"/>
                      <w:sz w:val="18"/>
                      <w:szCs w:val="18"/>
                      <w:highlight w:val="none"/>
                    </w:rPr>
                    <w:t>日（含投资周期终止日）内，通过销售机构提出申购/赎回申请，管理人于投资周期终止日次日对申购/赎回申请予以统一确认，未赎回的部分份额自动进入下一个投资周期。（以各销售机构设置的开放时间为准</w:t>
                  </w:r>
                  <w:r>
                    <w:rPr>
                      <w:rFonts w:hint="eastAsia" w:ascii="楷体" w:hAnsi="楷体" w:eastAsia="楷体" w:cs="宋体"/>
                      <w:spacing w:val="-2"/>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rPr>
                    <w:t>按投资周期开放申购，投资者可在每个投资周期终止日前7</w:t>
                  </w:r>
                  <w:r>
                    <w:rPr>
                      <w:rFonts w:hint="eastAsia" w:ascii="楷体" w:hAnsi="楷体" w:eastAsia="楷体" w:cs="宋体"/>
                      <w:spacing w:val="-2"/>
                      <w:sz w:val="18"/>
                      <w:szCs w:val="18"/>
                      <w:highlight w:val="none"/>
                      <w:lang w:val="en-US" w:eastAsia="zh-CN"/>
                    </w:rPr>
                    <w:t>个工作</w:t>
                  </w:r>
                  <w:r>
                    <w:rPr>
                      <w:rFonts w:hint="eastAsia" w:ascii="楷体" w:hAnsi="楷体" w:eastAsia="楷体" w:cs="宋体"/>
                      <w:spacing w:val="-2"/>
                      <w:sz w:val="18"/>
                      <w:szCs w:val="18"/>
                      <w:highlight w:val="none"/>
                    </w:rPr>
                    <w:t>日（含投资周期终止日）内，通过销售机构提出申购申请，管理人于投资周期终止日次日对申购申请予以统一确认</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份额持有一个投资周期后，在每个投资周期终止日由系统自动为投资者的所有持仓份额发起赎回申请，</w:t>
                  </w:r>
                  <w:r>
                    <w:rPr>
                      <w:rFonts w:hint="eastAsia" w:ascii="楷体" w:hAnsi="楷体" w:eastAsia="楷体" w:cs="宋体"/>
                      <w:spacing w:val="-2"/>
                      <w:sz w:val="18"/>
                      <w:szCs w:val="18"/>
                      <w:highlight w:val="none"/>
                    </w:rPr>
                    <w:t>管理人于投资周期终止日次日对赎回申请予以统一确认，</w:t>
                  </w:r>
                  <w:r>
                    <w:rPr>
                      <w:rFonts w:hint="eastAsia" w:ascii="楷体" w:hAnsi="楷体" w:eastAsia="楷体" w:cs="宋体"/>
                      <w:spacing w:val="-2"/>
                      <w:sz w:val="18"/>
                      <w:szCs w:val="18"/>
                      <w:highlight w:val="none"/>
                      <w:lang w:eastAsia="zh-CN"/>
                    </w:rPr>
                    <w:t>上一投资周期投资者的所有持仓份额不会</w:t>
                  </w:r>
                  <w:r>
                    <w:rPr>
                      <w:rFonts w:hint="eastAsia" w:ascii="楷体" w:hAnsi="楷体" w:eastAsia="楷体" w:cs="宋体"/>
                      <w:spacing w:val="-2"/>
                      <w:sz w:val="18"/>
                      <w:szCs w:val="18"/>
                      <w:highlight w:val="none"/>
                    </w:rPr>
                    <w:t>进入下一个投资周期。（以各销售机构设置的开放时间为准）</w:t>
                  </w:r>
                </w:p>
              </w:tc>
            </w:tr>
          </w:tbl>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highlight w:val="none"/>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（2）调整业绩比较基准与超额业绩报酬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w:t>
            </w:r>
            <w:r>
              <w:rPr>
                <w:rFonts w:hint="eastAsia" w:ascii="楷体" w:hAnsi="楷体" w:eastAsia="楷体" w:cs="楷体"/>
                <w:lang w:val="en-US" w:eastAsia="zh-CN"/>
              </w:rPr>
              <w:t>额2.80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w:t>
            </w:r>
            <w:r>
              <w:rPr>
                <w:rFonts w:hint="eastAsia" w:ascii="楷体" w:hAnsi="楷体" w:eastAsia="楷体" w:cs="楷体"/>
                <w:lang w:val="en-US" w:eastAsia="zh-CN"/>
              </w:rPr>
              <w:t>2.85</w:t>
            </w:r>
            <w:r>
              <w:rPr>
                <w:rFonts w:hint="default" w:ascii="楷体" w:hAnsi="楷体" w:eastAsia="楷体" w:cs="楷体"/>
                <w:lang w:val="en-US" w:eastAsia="zh-CN"/>
              </w:rPr>
              <w:t>%-</w:t>
            </w:r>
            <w:r>
              <w:rPr>
                <w:rFonts w:hint="eastAsia" w:ascii="楷体" w:hAnsi="楷体" w:eastAsia="楷体" w:cs="楷体"/>
                <w:lang w:val="en-US" w:eastAsia="zh-CN"/>
              </w:rPr>
              <w:t>3.45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cs="楷体"/>
                <w:lang w:val="en-US" w:eastAsia="zh-CN"/>
              </w:rPr>
              <w:t>ZF份额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T份额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ZQ份额 2.50%-3.10%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2"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若R&lt;业绩比较基准下限+（业绩比较基准上限-业绩比较基准下限）*25%，管理人无超额业绩报酬；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若业绩比较基准下限+（业绩比较基准上限-业绩比较基准下限）*25%≤R&lt;业绩比较基准上限，管理人对超出【业绩比较基准下限+（业绩比较基准上限-业绩比较基准下限）*25%】的部分，收取40%的超额业绩报酬；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25%】与业绩比较基准上限之间的部分，收取40%的超额业绩报酬；管理人对超出业绩比较基准上限的部分，收取60%的超额业绩报酬。</w:t>
            </w:r>
          </w:p>
        </w:tc>
        <w:tc>
          <w:tcPr>
            <w:tcW w:w="3604"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管理人按投资周期收取超额业绩报酬。假设单一投资周期的各份额实际年化投资收益在扣除托管费、销售服务费、投资管理费以及运作产品所必须缴纳的税费后为R：</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若R&lt;业绩比较基准下限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，管理人无超额业绩报酬；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≤R&lt;业绩比较基准上限，管理人对超出【业绩比较基准下限+（业绩比较基准上限-业绩比较基准下限）*</w:t>
            </w:r>
            <w:r>
              <w:rPr>
                <w:rFonts w:hint="eastAsia" w:ascii="楷体" w:hAnsi="楷体" w:eastAsia="楷体" w:cs="宋体"/>
                <w:spacing w:val="-2"/>
                <w:sz w:val="18"/>
                <w:szCs w:val="18"/>
                <w:highlight w:val="none"/>
                <w:lang w:val="en-US" w:eastAsia="zh-CN"/>
              </w:rPr>
              <w:t>60</w:t>
            </w:r>
            <w:r>
              <w:rPr>
                <w:rFonts w:hint="eastAsia" w:ascii="楷体" w:hAnsi="楷体" w:eastAsia="楷体" w:cs="宋体"/>
                <w:spacing w:val="-2"/>
                <w:sz w:val="18"/>
                <w:szCs w:val="18"/>
                <w:highlight w:val="none"/>
              </w:rPr>
              <w:t>%】的部分，收取40%的超额业绩报酬；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若R≥业绩比较基准上限，管理人对</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与业绩比较基准</w:t>
            </w:r>
            <w:r>
              <w:rPr>
                <w:rFonts w:hint="eastAsia" w:ascii="楷体" w:hAnsi="楷体" w:eastAsia="楷体" w:cs="宋体"/>
                <w:spacing w:val="-2"/>
                <w:sz w:val="18"/>
                <w:szCs w:val="18"/>
                <w:highlight w:val="none"/>
                <w:lang w:val="en-US" w:eastAsia="zh-CN"/>
              </w:rPr>
              <w:t>上</w:t>
            </w:r>
            <w:r>
              <w:rPr>
                <w:rFonts w:hint="eastAsia" w:ascii="楷体" w:hAnsi="楷体" w:eastAsia="楷体" w:cs="宋体"/>
                <w:spacing w:val="-2"/>
                <w:sz w:val="18"/>
                <w:szCs w:val="18"/>
                <w:highlight w:val="none"/>
              </w:rPr>
              <w:t>限之间的部分，收取40%的超额业绩报酬；管理人对超出业绩比较基准上限的部分，收取60%的超额业绩报酬。</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（4）调整说明书的销售费和管理费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F</w:t>
            </w:r>
            <w:r>
              <w:rPr>
                <w:rFonts w:hint="eastAsia" w:ascii="楷体" w:hAnsi="楷体" w:eastAsia="楷体"/>
                <w:sz w:val="20"/>
                <w:szCs w:val="20"/>
              </w:rPr>
              <w:t>份额</w:t>
            </w:r>
            <w:r>
              <w:rPr>
                <w:rFonts w:hint="eastAsia" w:ascii="楷体" w:hAnsi="楷体" w:eastAsia="楷体"/>
                <w:sz w:val="20"/>
                <w:szCs w:val="20"/>
                <w:lang w:val="en-US" w:eastAsia="zh-CN"/>
              </w:rPr>
              <w:t xml:space="preserve">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K份额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cs="Times New Roman"/>
                <w:sz w:val="20"/>
                <w:szCs w:val="20"/>
                <w:lang w:val="en-US" w:eastAsia="zh-CN"/>
              </w:rPr>
              <w:t>ZF份额 0.10%/年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T份额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ZQ份额 0.70%/年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6"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lang w:val="en-US" w:eastAsia="zh-CN"/>
              </w:rPr>
            </w:pPr>
            <w:r>
              <w:rPr>
                <w:rFonts w:hint="eastAsia" w:ascii="楷体" w:hAnsi="楷体" w:eastAsia="楷体"/>
                <w:sz w:val="20"/>
                <w:szCs w:val="20"/>
                <w:lang w:val="en-US" w:eastAsia="zh-CN"/>
              </w:rPr>
              <w:t>F</w:t>
            </w:r>
            <w:r>
              <w:rPr>
                <w:rFonts w:hint="eastAsia" w:ascii="楷体" w:hAnsi="楷体" w:eastAsia="楷体"/>
                <w:sz w:val="20"/>
                <w:szCs w:val="20"/>
              </w:rPr>
              <w:t xml:space="preserve">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K份额 0.40%/年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lang w:val="en-US" w:eastAsia="zh-CN"/>
              </w:rPr>
              <w:t>ZF份额 0.30</w:t>
            </w:r>
            <w:r>
              <w:rPr>
                <w:rFonts w:hint="eastAsia" w:ascii="楷体" w:hAnsi="楷体" w:eastAsia="楷体"/>
                <w:sz w:val="20"/>
                <w:szCs w:val="20"/>
              </w:rPr>
              <w:t>%/年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T份额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0.60%/年</w:t>
            </w:r>
          </w:p>
          <w:p>
            <w:pPr>
              <w:keepNext w:val="0"/>
              <w:keepLines w:val="0"/>
              <w:pageBreakBefore w:val="0"/>
              <w:numPr>
                <w:ilvl w:val="0"/>
                <w:numId w:val="0"/>
              </w:numPr>
              <w:kinsoku/>
              <w:wordWrap/>
              <w:overflowPunct/>
              <w:topLinePunct w:val="0"/>
              <w:bidi w:val="0"/>
              <w:snapToGrid/>
              <w:spacing w:line="0" w:lineRule="atLeast"/>
              <w:ind w:right="0" w:rightChars="0"/>
              <w:jc w:val="center"/>
              <w:rPr>
                <w:rFonts w:hint="default" w:ascii="楷体" w:hAnsi="楷体" w:eastAsia="楷体"/>
                <w:sz w:val="18"/>
                <w:szCs w:val="18"/>
                <w:lang w:val="en-US"/>
              </w:rPr>
            </w:pPr>
            <w:r>
              <w:rPr>
                <w:rFonts w:hint="eastAsia" w:ascii="楷体" w:hAnsi="楷体" w:eastAsia="楷体" w:cs="楷体"/>
                <w:kern w:val="0"/>
                <w:sz w:val="20"/>
                <w:szCs w:val="21"/>
                <w:lang w:val="en-US" w:eastAsia="zh-CN" w:bidi="ar-SA"/>
              </w:rPr>
              <w:t>ZQ份额 0.65%/年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11</w:t>
      </w:r>
      <w:r>
        <w:rPr>
          <w:rFonts w:hint="eastAsia" w:ascii="楷体" w:hAnsi="楷体" w:eastAsia="楷体"/>
          <w:sz w:val="28"/>
          <w:szCs w:val="28"/>
          <w:lang w:eastAsia="zh-CN"/>
        </w:rPr>
        <w:t>月</w:t>
      </w:r>
      <w:r>
        <w:rPr>
          <w:rFonts w:hint="eastAsia" w:ascii="楷体" w:hAnsi="楷体" w:eastAsia="楷体"/>
          <w:sz w:val="28"/>
          <w:szCs w:val="28"/>
          <w:lang w:val="en-US" w:eastAsia="zh-CN"/>
        </w:rPr>
        <w:t>4</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10</w:t>
      </w:r>
      <w:r>
        <w:rPr>
          <w:rFonts w:hint="eastAsia" w:ascii="楷体" w:hAnsi="楷体" w:eastAsia="楷体"/>
          <w:sz w:val="28"/>
          <w:szCs w:val="28"/>
          <w:lang w:eastAsia="zh-CN"/>
        </w:rPr>
        <w:t>月</w:t>
      </w:r>
      <w:r>
        <w:rPr>
          <w:rFonts w:hint="eastAsia" w:ascii="楷体" w:hAnsi="楷体" w:eastAsia="楷体"/>
          <w:sz w:val="28"/>
          <w:szCs w:val="28"/>
          <w:lang w:val="en-US" w:eastAsia="zh-CN"/>
        </w:rPr>
        <w:t>24</w:t>
      </w:r>
      <w:r>
        <w:rPr>
          <w:rFonts w:hint="eastAsia" w:ascii="楷体" w:hAnsi="楷体" w:eastAsia="楷体"/>
          <w:sz w:val="28"/>
          <w:szCs w:val="28"/>
          <w:lang w:eastAsia="zh-CN"/>
        </w:rPr>
        <w:t>日至20</w:t>
      </w:r>
      <w:r>
        <w:rPr>
          <w:rFonts w:hint="eastAsia" w:ascii="楷体" w:hAnsi="楷体" w:eastAsia="楷体"/>
          <w:sz w:val="28"/>
          <w:szCs w:val="28"/>
          <w:lang w:val="en-US" w:eastAsia="zh-CN"/>
        </w:rPr>
        <w:t>25</w:t>
      </w:r>
      <w:r>
        <w:rPr>
          <w:rFonts w:hint="eastAsia" w:ascii="楷体" w:hAnsi="楷体" w:eastAsia="楷体"/>
          <w:sz w:val="28"/>
          <w:szCs w:val="28"/>
          <w:lang w:eastAsia="zh-CN"/>
        </w:rPr>
        <w:t>年</w:t>
      </w:r>
      <w:r>
        <w:rPr>
          <w:rFonts w:hint="eastAsia" w:ascii="楷体" w:hAnsi="楷体" w:eastAsia="楷体"/>
          <w:sz w:val="28"/>
          <w:szCs w:val="28"/>
          <w:lang w:val="en-US" w:eastAsia="zh-CN"/>
        </w:rPr>
        <w:t>11</w:t>
      </w:r>
      <w:r>
        <w:rPr>
          <w:rFonts w:hint="eastAsia" w:ascii="楷体" w:hAnsi="楷体" w:eastAsia="楷体"/>
          <w:sz w:val="28"/>
          <w:szCs w:val="28"/>
          <w:lang w:eastAsia="zh-CN"/>
        </w:rPr>
        <w:t>月</w:t>
      </w:r>
      <w:r>
        <w:rPr>
          <w:rFonts w:hint="eastAsia" w:ascii="楷体" w:hAnsi="楷体" w:eastAsia="楷体"/>
          <w:sz w:val="28"/>
          <w:szCs w:val="28"/>
          <w:lang w:val="en-US" w:eastAsia="zh-CN"/>
        </w:rPr>
        <w:t>3</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5</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10</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14</w:t>
      </w:r>
      <w:bookmarkStart w:id="0" w:name="_GoBack"/>
      <w:bookmarkEnd w:id="0"/>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8A5D13"/>
    <w:rsid w:val="0194431F"/>
    <w:rsid w:val="01E8002F"/>
    <w:rsid w:val="01F10A4B"/>
    <w:rsid w:val="02A62BE9"/>
    <w:rsid w:val="02CD6006"/>
    <w:rsid w:val="02D16326"/>
    <w:rsid w:val="02E14AB1"/>
    <w:rsid w:val="033A123E"/>
    <w:rsid w:val="034335FA"/>
    <w:rsid w:val="036A51AD"/>
    <w:rsid w:val="036E7BB6"/>
    <w:rsid w:val="0383364B"/>
    <w:rsid w:val="03D837A8"/>
    <w:rsid w:val="0479381B"/>
    <w:rsid w:val="04F67774"/>
    <w:rsid w:val="056F4477"/>
    <w:rsid w:val="05C24554"/>
    <w:rsid w:val="05D170A8"/>
    <w:rsid w:val="05E56CDC"/>
    <w:rsid w:val="05FB2EA2"/>
    <w:rsid w:val="0671319E"/>
    <w:rsid w:val="06BC0C53"/>
    <w:rsid w:val="06C61B59"/>
    <w:rsid w:val="07731EDA"/>
    <w:rsid w:val="07EE0FA0"/>
    <w:rsid w:val="084131A0"/>
    <w:rsid w:val="093B5BA9"/>
    <w:rsid w:val="097F69FA"/>
    <w:rsid w:val="099D0555"/>
    <w:rsid w:val="09FF588F"/>
    <w:rsid w:val="0A392F7B"/>
    <w:rsid w:val="0A77384F"/>
    <w:rsid w:val="0ACC4A81"/>
    <w:rsid w:val="0B8445B4"/>
    <w:rsid w:val="0B9C374F"/>
    <w:rsid w:val="0BA11BEE"/>
    <w:rsid w:val="0BEC30C9"/>
    <w:rsid w:val="0C48088E"/>
    <w:rsid w:val="0C894AB8"/>
    <w:rsid w:val="0D0D51A1"/>
    <w:rsid w:val="0D200BB6"/>
    <w:rsid w:val="0D5F63C0"/>
    <w:rsid w:val="0D7972CE"/>
    <w:rsid w:val="0DAF4280"/>
    <w:rsid w:val="0E422521"/>
    <w:rsid w:val="0E5674C0"/>
    <w:rsid w:val="0EC72E07"/>
    <w:rsid w:val="0F663BA5"/>
    <w:rsid w:val="0F7067E8"/>
    <w:rsid w:val="0F923AB0"/>
    <w:rsid w:val="0FAF10CE"/>
    <w:rsid w:val="104E53CE"/>
    <w:rsid w:val="10831037"/>
    <w:rsid w:val="109F1442"/>
    <w:rsid w:val="10D765E7"/>
    <w:rsid w:val="10E55ACF"/>
    <w:rsid w:val="10EA422A"/>
    <w:rsid w:val="10F37717"/>
    <w:rsid w:val="112B3525"/>
    <w:rsid w:val="11DE70DE"/>
    <w:rsid w:val="11F8532A"/>
    <w:rsid w:val="12141D1F"/>
    <w:rsid w:val="12305220"/>
    <w:rsid w:val="128C6FF6"/>
    <w:rsid w:val="129928EB"/>
    <w:rsid w:val="12FD043A"/>
    <w:rsid w:val="130F5125"/>
    <w:rsid w:val="133A5971"/>
    <w:rsid w:val="13850E78"/>
    <w:rsid w:val="138E2B8D"/>
    <w:rsid w:val="138F40F7"/>
    <w:rsid w:val="146F3DF7"/>
    <w:rsid w:val="14E40183"/>
    <w:rsid w:val="151843BC"/>
    <w:rsid w:val="15466935"/>
    <w:rsid w:val="157531A0"/>
    <w:rsid w:val="15B64F8F"/>
    <w:rsid w:val="15CF287D"/>
    <w:rsid w:val="16287370"/>
    <w:rsid w:val="162F011F"/>
    <w:rsid w:val="16BB26F8"/>
    <w:rsid w:val="16CD5009"/>
    <w:rsid w:val="17121734"/>
    <w:rsid w:val="176A14D9"/>
    <w:rsid w:val="17C078CB"/>
    <w:rsid w:val="17E23DD4"/>
    <w:rsid w:val="181E174A"/>
    <w:rsid w:val="183A3312"/>
    <w:rsid w:val="18F87A98"/>
    <w:rsid w:val="19641023"/>
    <w:rsid w:val="196B405E"/>
    <w:rsid w:val="199B6CC4"/>
    <w:rsid w:val="19A07F59"/>
    <w:rsid w:val="19B7732F"/>
    <w:rsid w:val="1A033A08"/>
    <w:rsid w:val="1A516D0F"/>
    <w:rsid w:val="1A556062"/>
    <w:rsid w:val="1B3201DD"/>
    <w:rsid w:val="1B4C64BD"/>
    <w:rsid w:val="1B4D36B1"/>
    <w:rsid w:val="1BA91EFF"/>
    <w:rsid w:val="1BBB41AB"/>
    <w:rsid w:val="1BEF680F"/>
    <w:rsid w:val="1C027767"/>
    <w:rsid w:val="1C8E3149"/>
    <w:rsid w:val="1C9A7219"/>
    <w:rsid w:val="1CFD3FD3"/>
    <w:rsid w:val="1D276828"/>
    <w:rsid w:val="1D5346F0"/>
    <w:rsid w:val="1D645BD4"/>
    <w:rsid w:val="1D6D7635"/>
    <w:rsid w:val="1D7579FA"/>
    <w:rsid w:val="1D924373"/>
    <w:rsid w:val="1D985996"/>
    <w:rsid w:val="1E1006E6"/>
    <w:rsid w:val="1E4F01B9"/>
    <w:rsid w:val="1EA4443B"/>
    <w:rsid w:val="1EA87234"/>
    <w:rsid w:val="1EC206FB"/>
    <w:rsid w:val="1EE040CA"/>
    <w:rsid w:val="1EEB067E"/>
    <w:rsid w:val="1EEB0CD6"/>
    <w:rsid w:val="1EF17B30"/>
    <w:rsid w:val="1F3E4737"/>
    <w:rsid w:val="1F6E052A"/>
    <w:rsid w:val="1F76388C"/>
    <w:rsid w:val="1FB6782F"/>
    <w:rsid w:val="20095FBF"/>
    <w:rsid w:val="206A5E01"/>
    <w:rsid w:val="209B1322"/>
    <w:rsid w:val="20A57817"/>
    <w:rsid w:val="20C13F30"/>
    <w:rsid w:val="212C6D72"/>
    <w:rsid w:val="213644A8"/>
    <w:rsid w:val="21510889"/>
    <w:rsid w:val="22546781"/>
    <w:rsid w:val="23151294"/>
    <w:rsid w:val="233F63EE"/>
    <w:rsid w:val="237F15A3"/>
    <w:rsid w:val="23A55F71"/>
    <w:rsid w:val="23AB2404"/>
    <w:rsid w:val="23AC7493"/>
    <w:rsid w:val="24BB546F"/>
    <w:rsid w:val="250C3648"/>
    <w:rsid w:val="25213037"/>
    <w:rsid w:val="257A7A34"/>
    <w:rsid w:val="26421257"/>
    <w:rsid w:val="265A5C24"/>
    <w:rsid w:val="26875F75"/>
    <w:rsid w:val="277907C8"/>
    <w:rsid w:val="279B7C74"/>
    <w:rsid w:val="27A93268"/>
    <w:rsid w:val="27F87FC2"/>
    <w:rsid w:val="283B2206"/>
    <w:rsid w:val="287A5795"/>
    <w:rsid w:val="28BB2087"/>
    <w:rsid w:val="28E61DCA"/>
    <w:rsid w:val="28FD058B"/>
    <w:rsid w:val="29254958"/>
    <w:rsid w:val="29501300"/>
    <w:rsid w:val="29A64AAB"/>
    <w:rsid w:val="2A445C52"/>
    <w:rsid w:val="2A63017B"/>
    <w:rsid w:val="2ADD610D"/>
    <w:rsid w:val="2AF469CF"/>
    <w:rsid w:val="2AFD7AC8"/>
    <w:rsid w:val="2B660A1C"/>
    <w:rsid w:val="2B7F6AA5"/>
    <w:rsid w:val="2CA55C6B"/>
    <w:rsid w:val="2D064D96"/>
    <w:rsid w:val="2D381B6B"/>
    <w:rsid w:val="2D7C7356"/>
    <w:rsid w:val="2DC559A5"/>
    <w:rsid w:val="2DE1082F"/>
    <w:rsid w:val="2E0C17AB"/>
    <w:rsid w:val="2E3C4214"/>
    <w:rsid w:val="2E665FDB"/>
    <w:rsid w:val="2EB62279"/>
    <w:rsid w:val="2ED262D5"/>
    <w:rsid w:val="2EF06564"/>
    <w:rsid w:val="2F304982"/>
    <w:rsid w:val="2F724538"/>
    <w:rsid w:val="301B1F5D"/>
    <w:rsid w:val="301E1988"/>
    <w:rsid w:val="3058528B"/>
    <w:rsid w:val="30CC105E"/>
    <w:rsid w:val="30EE71C4"/>
    <w:rsid w:val="31D804B8"/>
    <w:rsid w:val="3262171C"/>
    <w:rsid w:val="32F86A57"/>
    <w:rsid w:val="33D75F09"/>
    <w:rsid w:val="33F03F01"/>
    <w:rsid w:val="342A3E8C"/>
    <w:rsid w:val="34330DD9"/>
    <w:rsid w:val="34634368"/>
    <w:rsid w:val="34AA01DC"/>
    <w:rsid w:val="34FE3C30"/>
    <w:rsid w:val="350F5212"/>
    <w:rsid w:val="351D2E33"/>
    <w:rsid w:val="352210FC"/>
    <w:rsid w:val="354202DB"/>
    <w:rsid w:val="355038A9"/>
    <w:rsid w:val="359D05B9"/>
    <w:rsid w:val="35A17702"/>
    <w:rsid w:val="367E42C7"/>
    <w:rsid w:val="36956B8C"/>
    <w:rsid w:val="371951A3"/>
    <w:rsid w:val="37EC1B56"/>
    <w:rsid w:val="38C954F8"/>
    <w:rsid w:val="3940059B"/>
    <w:rsid w:val="399827D5"/>
    <w:rsid w:val="3A025B8E"/>
    <w:rsid w:val="3A2154E4"/>
    <w:rsid w:val="3A401073"/>
    <w:rsid w:val="3A741987"/>
    <w:rsid w:val="3A8B3BFB"/>
    <w:rsid w:val="3ABF7DB8"/>
    <w:rsid w:val="3ADE136E"/>
    <w:rsid w:val="3B386425"/>
    <w:rsid w:val="3B9C63CC"/>
    <w:rsid w:val="3BE401DA"/>
    <w:rsid w:val="3CA02E52"/>
    <w:rsid w:val="3CC2593E"/>
    <w:rsid w:val="3D032D44"/>
    <w:rsid w:val="3E471DFD"/>
    <w:rsid w:val="3E6A1816"/>
    <w:rsid w:val="3F434A02"/>
    <w:rsid w:val="408753F4"/>
    <w:rsid w:val="408D10B1"/>
    <w:rsid w:val="40947325"/>
    <w:rsid w:val="40F405CC"/>
    <w:rsid w:val="40FA1029"/>
    <w:rsid w:val="41370768"/>
    <w:rsid w:val="415F76F8"/>
    <w:rsid w:val="416F6683"/>
    <w:rsid w:val="41A92C11"/>
    <w:rsid w:val="41D739A5"/>
    <w:rsid w:val="41DA6731"/>
    <w:rsid w:val="41DD004E"/>
    <w:rsid w:val="42044479"/>
    <w:rsid w:val="425F0F38"/>
    <w:rsid w:val="42AB75CB"/>
    <w:rsid w:val="42CE5FBB"/>
    <w:rsid w:val="42E90E20"/>
    <w:rsid w:val="43A0700B"/>
    <w:rsid w:val="44991AE0"/>
    <w:rsid w:val="44BD6023"/>
    <w:rsid w:val="44F778DB"/>
    <w:rsid w:val="45047CA4"/>
    <w:rsid w:val="451609AC"/>
    <w:rsid w:val="4594103F"/>
    <w:rsid w:val="45B4435C"/>
    <w:rsid w:val="45E83876"/>
    <w:rsid w:val="45EB52C6"/>
    <w:rsid w:val="46625BDF"/>
    <w:rsid w:val="46B94F03"/>
    <w:rsid w:val="47585D41"/>
    <w:rsid w:val="47631940"/>
    <w:rsid w:val="47762CA8"/>
    <w:rsid w:val="477A5D4D"/>
    <w:rsid w:val="47AC5CCC"/>
    <w:rsid w:val="47E37682"/>
    <w:rsid w:val="47E7403E"/>
    <w:rsid w:val="47F27979"/>
    <w:rsid w:val="480774F3"/>
    <w:rsid w:val="4845132D"/>
    <w:rsid w:val="48BB4465"/>
    <w:rsid w:val="49216DBC"/>
    <w:rsid w:val="49387F21"/>
    <w:rsid w:val="495124E6"/>
    <w:rsid w:val="49AA0AC7"/>
    <w:rsid w:val="49EC1694"/>
    <w:rsid w:val="4A471741"/>
    <w:rsid w:val="4A5A4710"/>
    <w:rsid w:val="4A6878E6"/>
    <w:rsid w:val="4AFD7FBC"/>
    <w:rsid w:val="4B035078"/>
    <w:rsid w:val="4B8B4FBF"/>
    <w:rsid w:val="4BE26612"/>
    <w:rsid w:val="4BFB6B1D"/>
    <w:rsid w:val="4C2B2CAD"/>
    <w:rsid w:val="4C4F679C"/>
    <w:rsid w:val="4C896196"/>
    <w:rsid w:val="4C9C3A47"/>
    <w:rsid w:val="4D2F7D3F"/>
    <w:rsid w:val="4D7654E0"/>
    <w:rsid w:val="4D8F6F14"/>
    <w:rsid w:val="4DBA4216"/>
    <w:rsid w:val="4DBC7557"/>
    <w:rsid w:val="4DCB35ED"/>
    <w:rsid w:val="4DCD55A0"/>
    <w:rsid w:val="4DE31008"/>
    <w:rsid w:val="4DF2602F"/>
    <w:rsid w:val="4E1B6A0B"/>
    <w:rsid w:val="4E221465"/>
    <w:rsid w:val="4E2F2DC0"/>
    <w:rsid w:val="4E3F35B1"/>
    <w:rsid w:val="4E5A5196"/>
    <w:rsid w:val="4ED423AE"/>
    <w:rsid w:val="4F40507F"/>
    <w:rsid w:val="4F610152"/>
    <w:rsid w:val="505428F3"/>
    <w:rsid w:val="505C0BA4"/>
    <w:rsid w:val="507207FA"/>
    <w:rsid w:val="507A6FBA"/>
    <w:rsid w:val="508C5689"/>
    <w:rsid w:val="508D5948"/>
    <w:rsid w:val="509846A9"/>
    <w:rsid w:val="50AA5D32"/>
    <w:rsid w:val="50BB7729"/>
    <w:rsid w:val="51B238F0"/>
    <w:rsid w:val="52294F82"/>
    <w:rsid w:val="52500057"/>
    <w:rsid w:val="526268DD"/>
    <w:rsid w:val="5274712B"/>
    <w:rsid w:val="5305453E"/>
    <w:rsid w:val="549473C0"/>
    <w:rsid w:val="54F40A45"/>
    <w:rsid w:val="55F82031"/>
    <w:rsid w:val="55F920FF"/>
    <w:rsid w:val="56464255"/>
    <w:rsid w:val="56D42649"/>
    <w:rsid w:val="56DB1E11"/>
    <w:rsid w:val="57432F4E"/>
    <w:rsid w:val="574B01B0"/>
    <w:rsid w:val="57B06DB9"/>
    <w:rsid w:val="57BE004A"/>
    <w:rsid w:val="58741402"/>
    <w:rsid w:val="593D73DB"/>
    <w:rsid w:val="59EA15B7"/>
    <w:rsid w:val="5A1E418A"/>
    <w:rsid w:val="5A532049"/>
    <w:rsid w:val="5A53598B"/>
    <w:rsid w:val="5A975B84"/>
    <w:rsid w:val="5BFD5AB5"/>
    <w:rsid w:val="5C5C782A"/>
    <w:rsid w:val="5CCA1527"/>
    <w:rsid w:val="5D95049A"/>
    <w:rsid w:val="5E6B43CE"/>
    <w:rsid w:val="5E923EC9"/>
    <w:rsid w:val="5F963482"/>
    <w:rsid w:val="5FA6139F"/>
    <w:rsid w:val="601B0AEB"/>
    <w:rsid w:val="60367908"/>
    <w:rsid w:val="604D0E43"/>
    <w:rsid w:val="60D713FC"/>
    <w:rsid w:val="611976DA"/>
    <w:rsid w:val="617A47CC"/>
    <w:rsid w:val="61C21FBF"/>
    <w:rsid w:val="62025FCA"/>
    <w:rsid w:val="62192F56"/>
    <w:rsid w:val="62262AD4"/>
    <w:rsid w:val="625231DF"/>
    <w:rsid w:val="62730DFD"/>
    <w:rsid w:val="6281495E"/>
    <w:rsid w:val="630B20F4"/>
    <w:rsid w:val="63193296"/>
    <w:rsid w:val="63287BC7"/>
    <w:rsid w:val="632F196D"/>
    <w:rsid w:val="634F7A07"/>
    <w:rsid w:val="63CF5FFF"/>
    <w:rsid w:val="6441191F"/>
    <w:rsid w:val="645B4479"/>
    <w:rsid w:val="64767A0B"/>
    <w:rsid w:val="64D946D3"/>
    <w:rsid w:val="6536531F"/>
    <w:rsid w:val="654E27FD"/>
    <w:rsid w:val="657A5127"/>
    <w:rsid w:val="659A2E3E"/>
    <w:rsid w:val="659D094E"/>
    <w:rsid w:val="65EF6D63"/>
    <w:rsid w:val="664B50DC"/>
    <w:rsid w:val="66517B3F"/>
    <w:rsid w:val="66B87BC6"/>
    <w:rsid w:val="66E32439"/>
    <w:rsid w:val="66E947A6"/>
    <w:rsid w:val="672732D6"/>
    <w:rsid w:val="6741510F"/>
    <w:rsid w:val="678F52EE"/>
    <w:rsid w:val="68EB201F"/>
    <w:rsid w:val="694226BD"/>
    <w:rsid w:val="69643B4A"/>
    <w:rsid w:val="69836F94"/>
    <w:rsid w:val="69A578E5"/>
    <w:rsid w:val="69C04ABB"/>
    <w:rsid w:val="69C949BD"/>
    <w:rsid w:val="69F936A0"/>
    <w:rsid w:val="69FB3CEA"/>
    <w:rsid w:val="6A5E4BBE"/>
    <w:rsid w:val="6AAC1985"/>
    <w:rsid w:val="6AC76ABF"/>
    <w:rsid w:val="6ACE4D37"/>
    <w:rsid w:val="6AE0698C"/>
    <w:rsid w:val="6B2D2DD1"/>
    <w:rsid w:val="6B4A2C69"/>
    <w:rsid w:val="6B715BA4"/>
    <w:rsid w:val="6B853A0B"/>
    <w:rsid w:val="6BCF16F1"/>
    <w:rsid w:val="6C907499"/>
    <w:rsid w:val="6C9932B3"/>
    <w:rsid w:val="6CB82799"/>
    <w:rsid w:val="6D3235AF"/>
    <w:rsid w:val="6D6605E1"/>
    <w:rsid w:val="6DB046C3"/>
    <w:rsid w:val="6DCA25A9"/>
    <w:rsid w:val="6E374AEF"/>
    <w:rsid w:val="6F0E64D5"/>
    <w:rsid w:val="6F763638"/>
    <w:rsid w:val="6F9D7484"/>
    <w:rsid w:val="6FEA7854"/>
    <w:rsid w:val="70352B2C"/>
    <w:rsid w:val="70844159"/>
    <w:rsid w:val="708C277D"/>
    <w:rsid w:val="70D03495"/>
    <w:rsid w:val="70D4483F"/>
    <w:rsid w:val="713978EF"/>
    <w:rsid w:val="7145584D"/>
    <w:rsid w:val="715B13F7"/>
    <w:rsid w:val="715E6C8D"/>
    <w:rsid w:val="718E6F68"/>
    <w:rsid w:val="71E23B38"/>
    <w:rsid w:val="72185F3B"/>
    <w:rsid w:val="72222730"/>
    <w:rsid w:val="727707D3"/>
    <w:rsid w:val="729344B0"/>
    <w:rsid w:val="72C568B4"/>
    <w:rsid w:val="72DB6001"/>
    <w:rsid w:val="7396760B"/>
    <w:rsid w:val="73B01C12"/>
    <w:rsid w:val="73B67AD5"/>
    <w:rsid w:val="73CD79E2"/>
    <w:rsid w:val="740E30C6"/>
    <w:rsid w:val="741115F7"/>
    <w:rsid w:val="7417414C"/>
    <w:rsid w:val="743F7715"/>
    <w:rsid w:val="74445220"/>
    <w:rsid w:val="74966354"/>
    <w:rsid w:val="74BA6964"/>
    <w:rsid w:val="74E710D7"/>
    <w:rsid w:val="759A3FB7"/>
    <w:rsid w:val="75C232CB"/>
    <w:rsid w:val="75D30060"/>
    <w:rsid w:val="760B591E"/>
    <w:rsid w:val="766A4803"/>
    <w:rsid w:val="76B1397B"/>
    <w:rsid w:val="76BA0270"/>
    <w:rsid w:val="76BF6564"/>
    <w:rsid w:val="76D161DE"/>
    <w:rsid w:val="773E5898"/>
    <w:rsid w:val="77667C2A"/>
    <w:rsid w:val="776D520A"/>
    <w:rsid w:val="790D447D"/>
    <w:rsid w:val="79341C63"/>
    <w:rsid w:val="79344E38"/>
    <w:rsid w:val="796462C2"/>
    <w:rsid w:val="79773D24"/>
    <w:rsid w:val="79822B8A"/>
    <w:rsid w:val="79897B01"/>
    <w:rsid w:val="7A32639B"/>
    <w:rsid w:val="7A495510"/>
    <w:rsid w:val="7A8F32F6"/>
    <w:rsid w:val="7AA97A9D"/>
    <w:rsid w:val="7ABD49D4"/>
    <w:rsid w:val="7AC06C49"/>
    <w:rsid w:val="7B524663"/>
    <w:rsid w:val="7B63246C"/>
    <w:rsid w:val="7B652FB5"/>
    <w:rsid w:val="7BAF350D"/>
    <w:rsid w:val="7BDA07A0"/>
    <w:rsid w:val="7C917E46"/>
    <w:rsid w:val="7D087766"/>
    <w:rsid w:val="7DA43BE7"/>
    <w:rsid w:val="7DF6307F"/>
    <w:rsid w:val="7E92744C"/>
    <w:rsid w:val="7EA979A6"/>
    <w:rsid w:val="7F642DE6"/>
    <w:rsid w:val="7FA51839"/>
    <w:rsid w:val="7FA746AC"/>
    <w:rsid w:val="7FB03193"/>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2009</Words>
  <Characters>2336</Characters>
  <Lines>2</Lines>
  <Paragraphs>1</Paragraphs>
  <TotalTime>19</TotalTime>
  <ScaleCrop>false</ScaleCrop>
  <LinksUpToDate>false</LinksUpToDate>
  <CharactersWithSpaces>2359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jsyh</cp:lastModifiedBy>
  <cp:lastPrinted>2024-04-16T11:20:00Z</cp:lastPrinted>
  <dcterms:modified xsi:type="dcterms:W3CDTF">2025-10-14T01:11:58Z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