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1.苏银理财恒源灵动最短持有7天15号F(J05002)新增销售机构中信百信银行股份有限公司、齐鲁银行股份有限公司、广州农村商业银行股份有限公司。</w:t>
        <w:cr/>
        <w:t xml:space="preserve">	2.苏银理财恒源灵动最短持有7天15号G(J05003)新增销售机构上海银行股份有限公司。</w:t>
        <w:cr/>
        <w:t xml:space="preserve">	3.苏银理财恒源融达1号6月JS鑫福款(J03807)新增销售机构江苏扬州农村商业银行股份有限公司。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