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附件1：调整收费标准的公告</w:t>
      </w:r>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2"/>
          <w:sz w:val="36"/>
          <w:szCs w:val="36"/>
          <w:highlight w:val="none"/>
          <w:lang w:val="en-US" w:eastAsia="zh-CN" w:bidi="ar-SA"/>
          <w14:textFill>
            <w14:solidFill>
              <w14:schemeClr w14:val="tx1"/>
            </w14:solidFill>
          </w14:textFill>
        </w:rPr>
        <w:t>关于调整</w:t>
      </w:r>
      <w:r>
        <w:rPr>
          <w:rFonts w:hint="eastAsia" w:ascii="方正小标宋简体" w:hAnsi="方正小标宋简体" w:eastAsia="方正小标宋简体" w:cs="方正小标宋简体"/>
          <w:b w:val="0"/>
          <w:bCs w:val="0"/>
          <w:color w:val="000000" w:themeColor="text1"/>
          <w:kern w:val="2"/>
          <w:sz w:val="36"/>
          <w:szCs w:val="36"/>
          <w:highlight w:val="none"/>
          <w:lang w:val="en-US" w:eastAsia="zh-CN" w:bidi="ar-SA"/>
          <w14:textFill>
            <w14:solidFill>
              <w14:schemeClr w14:val="tx1"/>
            </w14:solidFill>
          </w14:textFill>
        </w:rPr>
        <w:t>金融市场债券借贷业务</w:t>
      </w:r>
      <w:bookmarkStart w:id="0" w:name="OLE_LINK1"/>
      <w:r>
        <w:rPr>
          <w:rFonts w:hint="default" w:ascii="方正小标宋简体" w:hAnsi="方正小标宋简体" w:eastAsia="方正小标宋简体" w:cs="方正小标宋简体"/>
          <w:b w:val="0"/>
          <w:bCs w:val="0"/>
          <w:color w:val="000000" w:themeColor="text1"/>
          <w:kern w:val="2"/>
          <w:sz w:val="36"/>
          <w:szCs w:val="36"/>
          <w:highlight w:val="none"/>
          <w:lang w:val="en-US" w:eastAsia="zh-CN" w:bidi="ar-SA"/>
          <w14:textFill>
            <w14:solidFill>
              <w14:schemeClr w14:val="tx1"/>
            </w14:solidFill>
          </w14:textFill>
        </w:rPr>
        <w:t>服务规则及收费标准的公告</w:t>
      </w:r>
    </w:p>
    <w:bookmarkEnd w:id="0"/>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尊敬的客户：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为向您提供更优质的金融服务，我行将于</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2025年12月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15日</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起对</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债券借贷业务</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服务规则及收费标准进行调整</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，具体如下：</w:t>
      </w:r>
    </w:p>
    <w:tbl>
      <w:tblPr>
        <w:tblStyle w:val="4"/>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845"/>
        <w:gridCol w:w="1636"/>
        <w:gridCol w:w="1378"/>
        <w:gridCol w:w="1200"/>
        <w:gridCol w:w="1240"/>
        <w:gridCol w:w="887"/>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序号</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项目编号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服务项目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服务内容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服务价格</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适用对象</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优惠措施</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pPr>
            <w:r>
              <w:rPr>
                <w:rFonts w:hint="eastAsia" w:ascii="仿宋_GB2312" w:eastAsia="仿宋_GB2312" w:cs="Times New Roman" w:hAnsiTheme="minorHAnsi"/>
                <w:b w:val="0"/>
                <w:bCs w:val="0"/>
                <w:color w:val="000000" w:themeColor="text1"/>
                <w:kern w:val="0"/>
                <w:sz w:val="24"/>
                <w:szCs w:val="24"/>
                <w:highlight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JR004</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债券借贷业务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融入方提供一定数量的履约保障品，从融出方借入标的债券并向其支付债券借贷费用，同时约定在未来某一日期归还所借入标的债券，并由融出方返还履约保障品的债券融通行为。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根据市场价，可采用协商定价、上海清算所或中央结算公司公开定价和中国人民银行公开市场业务招标方式定价。</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同业客户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bl>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对上述事宜有任何疑问，可前往我行营业网点或致电我行</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客服热线</w:t>
      </w: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：400-858-8888（大陆地区），0080-186-3155（台湾地区）。衷心感谢您一直以来对厦门银行的关注与支持。</w:t>
      </w: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仿宋_GB2312" w:eastAsia="仿宋_GB2312" w:cs="Times New Roman"/>
          <w:b w:val="0"/>
          <w:bCs w:val="0"/>
          <w:color w:val="000000" w:themeColor="text1"/>
          <w:sz w:val="32"/>
          <w:szCs w:val="32"/>
          <w:highlight w:val="none"/>
          <w:lang w:val="en-US" w:eastAsia="zh-CN"/>
          <w14:textFill>
            <w14:solidFill>
              <w14:schemeClr w14:val="tx1"/>
            </w14:solidFill>
          </w14:textFill>
        </w:rPr>
        <w:t>特此公告</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厦门银行股份有限公司</w:t>
      </w:r>
    </w:p>
    <w:p>
      <w:pPr>
        <w:pStyle w:val="6"/>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2025年12月12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D4597"/>
    <w:rsid w:val="018C7474"/>
    <w:rsid w:val="040C39B5"/>
    <w:rsid w:val="060879F3"/>
    <w:rsid w:val="08C9526B"/>
    <w:rsid w:val="0B1F4E58"/>
    <w:rsid w:val="0B7329D8"/>
    <w:rsid w:val="142D09EA"/>
    <w:rsid w:val="166E1FAB"/>
    <w:rsid w:val="198F297E"/>
    <w:rsid w:val="19B760C0"/>
    <w:rsid w:val="1A3C4E7E"/>
    <w:rsid w:val="1E3D4597"/>
    <w:rsid w:val="23225D32"/>
    <w:rsid w:val="2457032D"/>
    <w:rsid w:val="2815300F"/>
    <w:rsid w:val="2AF31486"/>
    <w:rsid w:val="314F17F5"/>
    <w:rsid w:val="377D6A97"/>
    <w:rsid w:val="3F601497"/>
    <w:rsid w:val="47D408E5"/>
    <w:rsid w:val="4C3C0C35"/>
    <w:rsid w:val="52B471BF"/>
    <w:rsid w:val="56A445E8"/>
    <w:rsid w:val="6F627B00"/>
    <w:rsid w:val="78F0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首行缩进"/>
    <w:qFormat/>
    <w:uiPriority w:val="0"/>
    <w:pPr>
      <w:widowControl w:val="0"/>
      <w:suppressAutoHyphens/>
      <w:bidi w:val="0"/>
      <w:ind w:firstLine="480" w:firstLineChars="200"/>
      <w:jc w:val="both"/>
    </w:pPr>
    <w:rPr>
      <w:rFonts w:ascii="Calibri" w:hAnsi="Calibri" w:eastAsia="宋体" w:cs="Times New Roman"/>
      <w:color w:val="auto"/>
      <w:kern w:val="2"/>
      <w:sz w:val="21"/>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2025-11-28T07:29:00Z</dcterms:created>
  <dc:creator>Administrator</dc:creator>
  <cp:lastModifiedBy>Administrator</cp:lastModifiedBy>
  <dcterms:modified xsi:type="dcterms:W3CDTF">2025-12-12T08:14:26Z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F6DCD72FCBEA431D82810F66F6D4D1FB</vt:lpwstr>
  </property>
</Properties>
</file>