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华夏理财固定收益纯债型封闭式理财产品338号</w:t>
      </w:r>
    </w:p>
    <w:p>
      <w:pPr>
        <w:pStyle w:val="13"/>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r>
        <w:rPr>
          <w:rFonts w:hint="eastAsia" w:ascii="黑体" w:hAnsi="黑体" w:eastAsia="黑体" w:cs="黑体"/>
          <w:bCs/>
          <w:sz w:val="36"/>
          <w:szCs w:val="36"/>
          <w:highlight w:val="none"/>
        </w:rPr>
        <w:t>说明书</w:t>
      </w:r>
    </w:p>
    <w:p>
      <w:pPr>
        <w:pStyle w:val="13"/>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Z7003926000220</w:t>
      </w:r>
    </w:p>
    <w:tbl>
      <w:tblPr>
        <w:tblStyle w:val="21"/>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bookmarkStart w:id="6" w:name="_GoBack"/>
            <w:bookmarkEnd w:id="6"/>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83"/>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83"/>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21"/>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华夏理财固定收益纯债型封闭式理财产品338号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A份额简称：“华夏理财固收纯债封闭式338号182天A”</w:t>
            </w:r>
            <w:r>
              <w:rPr>
                <w:rFonts w:ascii="仿宋" w:hAnsi="仿宋" w:eastAsia="仿宋"/>
                <w:b/>
                <w:bCs/>
                <w:szCs w:val="21"/>
                <w:highlight w:val="none"/>
              </w:rPr>
              <w:br w:type="textWrapping"/>
            </w:r>
            <w:r>
              <w:rPr>
                <w:rFonts w:ascii="仿宋" w:hAnsi="仿宋" w:eastAsia="仿宋"/>
                <w:b/>
                <w:bCs/>
                <w:szCs w:val="21"/>
                <w:highlight w:val="none"/>
              </w:rPr>
              <w:t>B份额简称：“华夏理财固收纯债封闭式338号182天B”</w:t>
            </w:r>
            <w:r>
              <w:rPr>
                <w:rFonts w:ascii="仿宋" w:hAnsi="仿宋" w:eastAsia="仿宋"/>
                <w:b/>
                <w:bCs/>
                <w:szCs w:val="21"/>
                <w:highlight w:val="none"/>
              </w:rPr>
              <w:br w:type="textWrapping"/>
            </w:r>
            <w:r>
              <w:rPr>
                <w:rFonts w:ascii="仿宋" w:hAnsi="仿宋" w:eastAsia="仿宋"/>
                <w:b/>
                <w:bCs/>
                <w:szCs w:val="21"/>
                <w:highlight w:val="none"/>
              </w:rPr>
              <w:t>C份额简称：“华夏理财固收纯债封闭式338号182天C”</w:t>
            </w:r>
            <w:r>
              <w:rPr>
                <w:rFonts w:ascii="仿宋" w:hAnsi="仿宋" w:eastAsia="仿宋"/>
                <w:b/>
                <w:bCs/>
                <w:szCs w:val="21"/>
                <w:highlight w:val="none"/>
              </w:rPr>
              <w:br w:type="textWrapping"/>
            </w:r>
            <w:r>
              <w:rPr>
                <w:rFonts w:ascii="仿宋" w:hAnsi="仿宋" w:eastAsia="仿宋"/>
                <w:b/>
                <w:bCs/>
                <w:szCs w:val="21"/>
                <w:highlight w:val="none"/>
              </w:rPr>
              <w:t>D份额简称：“华夏理财固收纯债封闭式338号182天D”</w:t>
            </w:r>
            <w:r>
              <w:rPr>
                <w:rFonts w:ascii="仿宋" w:hAnsi="仿宋" w:eastAsia="仿宋"/>
                <w:b/>
                <w:bCs/>
                <w:szCs w:val="21"/>
                <w:highlight w:val="none"/>
              </w:rPr>
              <w:br w:type="textWrapping"/>
            </w:r>
            <w:r>
              <w:rPr>
                <w:rFonts w:ascii="仿宋" w:hAnsi="仿宋" w:eastAsia="仿宋"/>
                <w:b/>
                <w:bCs/>
                <w:szCs w:val="21"/>
                <w:highlight w:val="none"/>
              </w:rPr>
              <w:t>E份额简称：“华夏理财固收纯债封闭式338号182天E”</w:t>
            </w:r>
            <w:r>
              <w:rPr>
                <w:rFonts w:ascii="仿宋" w:hAnsi="仿宋" w:eastAsia="仿宋"/>
                <w:b/>
                <w:bCs/>
                <w:szCs w:val="21"/>
                <w:highlight w:val="none"/>
              </w:rPr>
              <w:br w:type="textWrapping"/>
            </w:r>
            <w:r>
              <w:rPr>
                <w:rFonts w:ascii="仿宋" w:hAnsi="仿宋" w:eastAsia="仿宋"/>
                <w:b/>
                <w:bCs/>
                <w:szCs w:val="21"/>
                <w:highlight w:val="none"/>
              </w:rPr>
              <w:t>H份额简称：“华夏理财固收纯债封闭式338号182天H”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26111035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A份额代码：26111035A</w:t>
            </w:r>
            <w:r>
              <w:rPr>
                <w:rFonts w:ascii="仿宋" w:hAnsi="仿宋" w:eastAsia="仿宋"/>
                <w:bCs/>
                <w:szCs w:val="21"/>
                <w:highlight w:val="none"/>
                <w:u w:val="none"/>
              </w:rPr>
              <w:br w:type="textWrapping"/>
            </w:r>
            <w:r>
              <w:rPr>
                <w:rFonts w:ascii="仿宋" w:hAnsi="仿宋" w:eastAsia="仿宋"/>
                <w:bCs/>
                <w:szCs w:val="21"/>
                <w:highlight w:val="none"/>
                <w:u w:val="none"/>
              </w:rPr>
              <w:t>B份额代码：26111035B</w:t>
            </w:r>
            <w:r>
              <w:rPr>
                <w:rFonts w:ascii="仿宋" w:hAnsi="仿宋" w:eastAsia="仿宋"/>
                <w:bCs/>
                <w:szCs w:val="21"/>
                <w:highlight w:val="none"/>
                <w:u w:val="none"/>
              </w:rPr>
              <w:br w:type="textWrapping"/>
            </w:r>
            <w:r>
              <w:rPr>
                <w:rFonts w:ascii="仿宋" w:hAnsi="仿宋" w:eastAsia="仿宋"/>
                <w:bCs/>
                <w:szCs w:val="21"/>
                <w:highlight w:val="none"/>
                <w:u w:val="none"/>
              </w:rPr>
              <w:t>C份额代码：26111035C</w:t>
            </w:r>
            <w:r>
              <w:rPr>
                <w:rFonts w:ascii="仿宋" w:hAnsi="仿宋" w:eastAsia="仿宋"/>
                <w:bCs/>
                <w:szCs w:val="21"/>
                <w:highlight w:val="none"/>
                <w:u w:val="none"/>
              </w:rPr>
              <w:br w:type="textWrapping"/>
            </w:r>
            <w:r>
              <w:rPr>
                <w:rFonts w:ascii="仿宋" w:hAnsi="仿宋" w:eastAsia="仿宋"/>
                <w:bCs/>
                <w:szCs w:val="21"/>
                <w:highlight w:val="none"/>
                <w:u w:val="none"/>
              </w:rPr>
              <w:t>D份额代码：26111035D</w:t>
            </w:r>
            <w:r>
              <w:rPr>
                <w:rFonts w:ascii="仿宋" w:hAnsi="仿宋" w:eastAsia="仿宋"/>
                <w:bCs/>
                <w:szCs w:val="21"/>
                <w:highlight w:val="none"/>
                <w:u w:val="none"/>
              </w:rPr>
              <w:br w:type="textWrapping"/>
            </w:r>
            <w:r>
              <w:rPr>
                <w:rFonts w:ascii="仿宋" w:hAnsi="仿宋" w:eastAsia="仿宋"/>
                <w:bCs/>
                <w:szCs w:val="21"/>
                <w:highlight w:val="none"/>
                <w:u w:val="none"/>
              </w:rPr>
              <w:t>E份额代码：26111035E</w:t>
            </w:r>
            <w:r>
              <w:rPr>
                <w:rFonts w:ascii="仿宋" w:hAnsi="仿宋" w:eastAsia="仿宋"/>
                <w:bCs/>
                <w:szCs w:val="21"/>
                <w:highlight w:val="none"/>
                <w:u w:val="none"/>
              </w:rPr>
              <w:br w:type="textWrapping"/>
            </w:r>
            <w:r>
              <w:rPr>
                <w:rFonts w:ascii="仿宋" w:hAnsi="仿宋" w:eastAsia="仿宋"/>
                <w:bCs/>
                <w:szCs w:val="21"/>
                <w:highlight w:val="none"/>
                <w:u w:val="none"/>
              </w:rPr>
              <w:t>H份额代码：26111035H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Z7003926000220</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w:t>
            </w:r>
            <w:r>
              <w:rPr>
                <w:rFonts w:ascii="仿宋" w:hAnsi="仿宋" w:eastAsia="仿宋"/>
                <w:bCs/>
                <w:szCs w:val="21"/>
                <w:highlight w:val="none"/>
              </w:rPr>
              <w:t>为</w:t>
            </w:r>
            <w:r>
              <w:rPr>
                <w:rFonts w:hint="eastAsia" w:ascii="仿宋" w:hAnsi="仿宋" w:eastAsia="仿宋"/>
                <w:bCs/>
                <w:szCs w:val="21"/>
                <w:highlight w:val="none"/>
                <w:u w:val="single"/>
              </w:rPr>
              <w:t>PR2级（中低风险）</w:t>
            </w:r>
            <w:r>
              <w:rPr>
                <w:rFonts w:ascii="仿宋" w:hAnsi="仿宋" w:eastAsia="仿宋"/>
                <w:bCs/>
                <w:szCs w:val="21"/>
                <w:highlight w:val="none"/>
              </w:rPr>
              <w:t>理财</w:t>
            </w:r>
            <w:r>
              <w:rPr>
                <w:rFonts w:ascii="仿宋" w:hAnsi="仿宋" w:eastAsia="仿宋"/>
                <w:bCs/>
                <w:szCs w:val="21"/>
                <w:highlight w:val="none"/>
              </w:rPr>
              <w:t>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2.25%（年化）；B份额：业绩比较基准为2.20%（年化）；C份额：业绩比较基准为2.10%（年化）；D份额：业绩比较基准为2.05%（年化）；E份额：业绩比较基准为2.00%（年化）；H份额：业绩比较基准为2.15%（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产品全部投资于固定收益类资产，以产品主要投资于存款、债券类资产为例，参考目标资产当前收益水平，结合产品灵活期限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OLE_LINK3"/>
            <w:bookmarkStart w:id="2" w:name="OLE_LINK2"/>
            <w:bookmarkStart w:id="3" w:name="_Hlk290294163"/>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2026年3月10日</w:t>
            </w:r>
            <w:r>
              <w:rPr>
                <w:rFonts w:hint="eastAsia" w:ascii="仿宋" w:hAnsi="仿宋" w:eastAsia="仿宋"/>
                <w:bCs/>
                <w:szCs w:val="21"/>
                <w:highlight w:val="none"/>
              </w:rPr>
              <w:t>－</w:t>
            </w:r>
            <w:r>
              <w:rPr>
                <w:rFonts w:hint="eastAsia" w:ascii="仿宋" w:hAnsi="仿宋" w:eastAsia="仿宋"/>
                <w:bCs/>
                <w:szCs w:val="21"/>
                <w:highlight w:val="none"/>
              </w:rPr>
              <w:t>2026年3月16日</w:t>
            </w:r>
            <w:r>
              <w:rPr>
                <w:rFonts w:hint="eastAsia" w:ascii="仿宋" w:hAnsi="仿宋" w:eastAsia="仿宋"/>
                <w:bCs/>
                <w:szCs w:val="21"/>
                <w:highlight w:val="none"/>
              </w:rPr>
              <w:t>（含）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w:t>
            </w:r>
            <w:r>
              <w:rPr>
                <w:rFonts w:hint="eastAsia" w:ascii="仿宋" w:hAnsi="仿宋" w:eastAsia="仿宋"/>
                <w:bCs/>
                <w:szCs w:val="21"/>
                <w:highlight w:val="none"/>
              </w:rPr>
              <w:t>17:30</w:t>
            </w:r>
            <w:r>
              <w:rPr>
                <w:rFonts w:hint="eastAsia" w:ascii="仿宋" w:hAnsi="仿宋" w:eastAsia="仿宋"/>
                <w:bCs/>
                <w:szCs w:val="21"/>
                <w:highlight w:val="none"/>
              </w:rPr>
              <w:t>（含）后不可认购。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bookmarkEnd w:id="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2026年3月17日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182</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2026年9月15日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w:t>
            </w:r>
            <w:r>
              <w:rPr>
                <w:rFonts w:hint="eastAsia" w:ascii="仿宋" w:hAnsi="仿宋" w:eastAsia="仿宋"/>
                <w:bCs/>
                <w:szCs w:val="21"/>
                <w:highlight w:val="none"/>
              </w:rPr>
              <w:t>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本产品计划发行规模下限为2,000万元。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w:t>
            </w:r>
            <w:r>
              <w:rPr>
                <w:rFonts w:ascii="仿宋" w:hAnsi="仿宋" w:eastAsia="仿宋"/>
                <w:bCs/>
                <w:szCs w:val="21"/>
                <w:highlight w:val="none"/>
              </w:rPr>
              <w:t>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B份额：0.10%/年，以前一日资产净值为基数，每日计提。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D份额：0.25%/年，以前一日资产净值为基数，每日计提。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E份额：0.30%/年，以前一日资产净值为基数，每日计提。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H份额：0.15%/年，以前一日资产净值为基数，每日计提。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0.30%</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0.30%</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hint="eastAsia" w:ascii="仿宋" w:hAnsi="仿宋" w:eastAsia="仿宋"/>
                <w:b w:val="0"/>
                <w:bCs/>
                <w:szCs w:val="21"/>
                <w:highlight w:val="none"/>
              </w:rPr>
              <w:t>超额</w:t>
            </w:r>
            <w:r>
              <w:rPr>
                <w:rFonts w:ascii="仿宋" w:hAnsi="仿宋" w:eastAsia="仿宋"/>
                <w:b w:val="0"/>
                <w:bCs/>
                <w:szCs w:val="21"/>
                <w:highlight w:val="none"/>
              </w:rPr>
              <w:t>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
                <w:szCs w:val="21"/>
                <w:highlight w:val="none"/>
                <w:u w:val="none"/>
              </w:rPr>
              <w:t>本理财产品扣除各项费用（包括销售手续费、托管费、固定管理费及其他费用等）后，年化收益率低于或等于超额计提基准，则管理人不收取超额管理费；超过超额计提基准的部分，50%归投资人所有，50%作为管理人的超额管理费。</w:t>
            </w:r>
            <w:r>
              <w:rPr>
                <w:rFonts w:ascii="仿宋" w:hAnsi="仿宋" w:eastAsia="仿宋"/>
                <w:b/>
                <w:szCs w:val="21"/>
                <w:highlight w:val="none"/>
                <w:u w:val="none"/>
              </w:rPr>
              <w:br w:type="textWrapping"/>
            </w:r>
            <w:r>
              <w:rPr>
                <w:rFonts w:ascii="仿宋" w:hAnsi="仿宋" w:eastAsia="仿宋"/>
                <w:b/>
                <w:szCs w:val="21"/>
                <w:highlight w:val="none"/>
                <w:u w:val="none"/>
              </w:rPr>
              <w:t xml:space="preserve">    A份额：超额计提基准为2.25%（年化）。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B份额：超额计提基准为2.20%（年化）。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C份额：超额计提基准为2.10%（年化）。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D份额：超额计提基准为2.05%（年化）。</w:t>
            </w:r>
            <w:r>
              <w:rPr>
                <w:rFonts w:ascii="仿宋" w:hAnsi="仿宋" w:eastAsia="仿宋"/>
                <w:b/>
                <w:szCs w:val="21"/>
                <w:highlight w:val="none"/>
                <w:u w:val="none"/>
              </w:rPr>
              <w:br w:type="textWrapping"/>
            </w:r>
            <w:r>
              <w:rPr>
                <w:rFonts w:ascii="仿宋" w:hAnsi="仿宋" w:eastAsia="仿宋"/>
                <w:b/>
                <w:szCs w:val="21"/>
                <w:highlight w:val="none"/>
                <w:u w:val="none"/>
              </w:rPr>
              <w:t xml:space="preserve">    E份额：超额计提基准为2.00%（年化）。</w:t>
            </w:r>
            <w:r>
              <w:rPr>
                <w:rFonts w:ascii="仿宋" w:hAnsi="仿宋" w:eastAsia="仿宋"/>
                <w:b/>
                <w:szCs w:val="21"/>
                <w:highlight w:val="none"/>
                <w:u w:val="none"/>
              </w:rPr>
              <w:br w:type="textWrapping"/>
            </w:r>
            <w:r>
              <w:rPr>
                <w:rFonts w:ascii="仿宋" w:hAnsi="仿宋" w:eastAsia="仿宋"/>
                <w:b/>
                <w:szCs w:val="21"/>
                <w:highlight w:val="none"/>
                <w:u w:val="none"/>
              </w:rPr>
              <w:t xml:space="preserve">    H份额：超额计提基准为2.15%（年化）。</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本理财产品超额管理费的计算公式：</w:t>
            </w:r>
            <w:r>
              <w:rPr>
                <w:rFonts w:ascii="仿宋" w:hAnsi="仿宋" w:eastAsia="仿宋"/>
                <w:b/>
                <w:szCs w:val="21"/>
                <w:highlight w:val="none"/>
                <w:u w:val="none"/>
              </w:rPr>
              <w:br w:type="textWrapping"/>
            </w:r>
            <w:r>
              <w:rPr>
                <w:rFonts w:ascii="仿宋" w:hAnsi="仿宋" w:eastAsia="仿宋"/>
                <w:b/>
                <w:szCs w:val="21"/>
                <w:highlight w:val="none"/>
                <w:u w:val="none"/>
              </w:rPr>
              <w:t xml:space="preserve">    超额管理费=（年化收益率-超额计提基准）×当期持有天数÷365×50% ×产品份额×1.0000</w:t>
            </w:r>
            <w:r>
              <w:rPr>
                <w:rFonts w:ascii="仿宋" w:hAnsi="仿宋" w:eastAsia="仿宋"/>
                <w:b/>
                <w:szCs w:val="21"/>
                <w:highlight w:val="none"/>
                <w:u w:val="none"/>
              </w:rPr>
              <w:br w:type="textWrapping"/>
            </w:r>
            <w:r>
              <w:rPr>
                <w:rFonts w:ascii="仿宋" w:hAnsi="仿宋" w:eastAsia="仿宋"/>
                <w:b/>
                <w:szCs w:val="21"/>
                <w:highlight w:val="none"/>
                <w:u w:val="none"/>
              </w:rPr>
              <w:t xml:space="preserve">    其中：年化收益率=（计提日累计单位净值-1.0000）÷1.0000×365÷当期持有天数。“产品份额”为产品份额，若有红利再投时，将剔除红利再投产生份额的影响。</w:t>
            </w:r>
            <w:r>
              <w:rPr>
                <w:rFonts w:ascii="仿宋" w:hAnsi="仿宋" w:eastAsia="仿宋"/>
                <w:b/>
                <w:szCs w:val="21"/>
                <w:highlight w:val="none"/>
                <w:u w:val="none"/>
              </w:rPr>
              <w:br w:type="textWrapping"/>
            </w:r>
            <w:r>
              <w:rPr>
                <w:rFonts w:ascii="仿宋" w:hAnsi="仿宋" w:eastAsia="仿宋"/>
                <w:b/>
                <w:szCs w:val="21"/>
                <w:highlight w:val="none"/>
                <w:u w:val="none"/>
              </w:rPr>
              <w:t xml:space="preserve">    投资周期内每个估值日计提超额管理费，仅作为暂估数据，用于本产品会计核算和估值日估值。仅到期/终止日为本产品超额管理费实际计提和收取日。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color w:val="000000"/>
                <w:szCs w:val="21"/>
                <w:highlight w:val="none"/>
              </w:rPr>
              <w:t>华夏理财有权根据市场</w:t>
            </w:r>
            <w:r>
              <w:rPr>
                <w:rFonts w:hint="eastAsia" w:ascii="仿宋" w:hAnsi="仿宋" w:eastAsia="仿宋"/>
                <w:b/>
                <w:szCs w:val="21"/>
                <w:highlight w:val="none"/>
              </w:rPr>
              <w:t>及产品运作情况调整上述规则，并至少于生效前3个工作日通过本产品说明书约定的信息披露渠道进行公告</w:t>
            </w:r>
            <w:r>
              <w:rPr>
                <w:rFonts w:hint="eastAsia" w:ascii="仿宋" w:hAnsi="仿宋" w:eastAsia="仿宋"/>
                <w:b/>
                <w:color w:val="00000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w:t>
            </w:r>
            <w:r>
              <w:rPr>
                <w:rFonts w:hint="eastAsia" w:ascii="仿宋" w:hAnsi="仿宋" w:eastAsia="仿宋"/>
                <w:b/>
                <w:bCs w:val="0"/>
                <w:szCs w:val="21"/>
                <w:highlight w:val="none"/>
              </w:rPr>
              <w:t>后</w:t>
            </w:r>
            <w:r>
              <w:rPr>
                <w:rFonts w:ascii="仿宋" w:hAnsi="仿宋" w:eastAsia="仿宋"/>
                <w:b/>
                <w:szCs w:val="21"/>
                <w:highlight w:val="none"/>
                <w:u w:val="none"/>
              </w:rPr>
              <w:t>4</w:t>
            </w:r>
            <w:r>
              <w:rPr>
                <w:rFonts w:hint="eastAsia" w:ascii="仿宋" w:hAnsi="仿宋" w:eastAsia="仿宋"/>
                <w:b/>
                <w:bCs w:val="0"/>
                <w:szCs w:val="21"/>
                <w:highlight w:val="none"/>
              </w:rPr>
              <w:t>位，小数点后</w:t>
            </w:r>
            <w:r>
              <w:rPr>
                <w:rFonts w:hint="eastAsia" w:ascii="仿宋" w:hAnsi="仿宋" w:eastAsia="仿宋"/>
                <w:b/>
                <w:bCs w:val="0"/>
                <w:szCs w:val="21"/>
                <w:highlight w:val="none"/>
              </w:rPr>
              <w:t>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产品每周五的份额净值，将在该周五结束后的第3个工作日公告（如周五为非工作日，则公告周五上1个工作日的份额净值；如当周没有第3个工作日，则顺延至下1个工作日）。</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产品到期/终止日的份额净值，将在到期/终止</w:t>
            </w:r>
            <w:r>
              <w:rPr>
                <w:rFonts w:ascii="仿宋" w:hAnsi="仿宋" w:eastAsia="仿宋"/>
                <w:bCs/>
                <w:szCs w:val="21"/>
                <w:highlight w:val="none"/>
              </w:rPr>
              <w:t>日</w:t>
            </w:r>
            <w:r>
              <w:rPr>
                <w:rFonts w:hint="eastAsia" w:ascii="仿宋" w:hAnsi="仿宋" w:eastAsia="仿宋"/>
                <w:highlight w:val="none"/>
              </w:rPr>
              <w:t>结束</w:t>
            </w:r>
            <w:r>
              <w:rPr>
                <w:rFonts w:ascii="仿宋" w:hAnsi="仿宋" w:eastAsia="仿宋"/>
                <w:bCs/>
                <w:szCs w:val="21"/>
                <w:highlight w:val="none"/>
              </w:rPr>
              <w:t>后的</w:t>
            </w:r>
            <w:r>
              <w:rPr>
                <w:rFonts w:hint="eastAsia" w:ascii="仿宋" w:hAnsi="仿宋" w:eastAsia="仿宋"/>
                <w:bCs/>
                <w:szCs w:val="21"/>
                <w:highlight w:val="none"/>
              </w:rPr>
              <w:t>2个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公告。</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产品封闭期</w:t>
            </w:r>
            <w:r>
              <w:rPr>
                <w:rFonts w:hint="eastAsia" w:ascii="仿宋" w:hAnsi="仿宋" w:eastAsia="仿宋"/>
                <w:b/>
                <w:bCs/>
                <w:szCs w:val="21"/>
                <w:highlight w:val="none"/>
              </w:rPr>
              <w:t>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w:t>
            </w:r>
            <w:r>
              <w:rPr>
                <w:rFonts w:ascii="仿宋" w:hAnsi="仿宋" w:eastAsia="仿宋" w:cs="宋体"/>
                <w:szCs w:val="21"/>
                <w:highlight w:val="none"/>
              </w:rPr>
              <w:t>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w:t>
            </w:r>
            <w:r>
              <w:rPr>
                <w:rFonts w:ascii="仿宋" w:hAnsi="仿宋" w:eastAsia="仿宋" w:cs="宋体"/>
                <w:szCs w:val="21"/>
                <w:highlight w:val="none"/>
              </w:rPr>
              <w:t>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本产品100%投资于固定收益类金融工具，包括货币市场工具、标准化债权类资产及其他符合监管要求的固定收益类金融工具。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t xml:space="preserve">产品的投资范围可能随国家法律法规及监管政策的变化而调整，如法律法规或监管机构以后允许理财产品投资其他品种，可在公告后，将其纳入投资范围，投资比例将遵循法律法规或相关规定。 </w:t>
      </w:r>
    </w:p>
    <w:p>
      <w:pPr>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21"/>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货币市场工具</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标准化债权类资产</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0%-100%</w:t>
            </w:r>
          </w:p>
        </w:tc>
      </w:tr>
    </w:tbl>
    <w:p>
      <w:pPr>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w:t>
      </w:r>
      <w:r>
        <w:rPr>
          <w:rFonts w:hint="eastAsia" w:ascii="仿宋" w:hAnsi="仿宋" w:eastAsia="仿宋" w:cs="宋体"/>
          <w:b/>
          <w:bCs/>
          <w:color w:val="000000"/>
          <w:sz w:val="24"/>
          <w:highlight w:val="none"/>
          <w:lang w:val="en-US" w:eastAsia="zh-CN"/>
        </w:rPr>
        <w:t>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83"/>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1</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管理人收取超额管理费，扣除超额管理费后的产品到期日份额净值为</w:t>
      </w:r>
      <w:r>
        <w:rPr>
          <w:rFonts w:ascii="仿宋" w:hAnsi="仿宋" w:eastAsia="仿宋" w:cs="仿宋"/>
          <w:sz w:val="24"/>
          <w:highlight w:val="none"/>
        </w:rPr>
        <w:t>1.0800</w:t>
      </w:r>
      <w:r>
        <w:rPr>
          <w:rFonts w:hint="eastAsia" w:ascii="仿宋" w:hAnsi="仿宋" w:eastAsia="仿宋" w:cs="仿宋"/>
          <w:sz w:val="24"/>
          <w:highlight w:val="none"/>
        </w:rPr>
        <w:t>，客户到期获得的金额为：</w:t>
      </w:r>
      <w:r>
        <w:rPr>
          <w:rFonts w:ascii="仿宋" w:hAnsi="仿宋" w:eastAsia="仿宋" w:cs="仿宋"/>
          <w:sz w:val="24"/>
          <w:highlight w:val="none"/>
        </w:rPr>
        <w:t>100,000*1.0800=108,000.00</w:t>
      </w:r>
      <w:r>
        <w:rPr>
          <w:rFonts w:hint="eastAsia" w:ascii="仿宋" w:hAnsi="仿宋" w:eastAsia="仿宋" w:cs="仿宋"/>
          <w:sz w:val="24"/>
          <w:highlight w:val="none"/>
        </w:rPr>
        <w:t>元。</w:t>
      </w:r>
    </w:p>
    <w:p>
      <w:pPr>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2</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1.0200</w:t>
      </w:r>
      <w:r>
        <w:rPr>
          <w:rFonts w:hint="eastAsia" w:ascii="仿宋" w:hAnsi="仿宋" w:eastAsia="仿宋" w:cs="仿宋"/>
          <w:sz w:val="24"/>
          <w:highlight w:val="none"/>
        </w:rPr>
        <w:t>，客户到期获得的金额为：</w:t>
      </w:r>
      <w:r>
        <w:rPr>
          <w:rFonts w:ascii="仿宋" w:hAnsi="仿宋" w:eastAsia="仿宋" w:cs="仿宋"/>
          <w:sz w:val="24"/>
          <w:highlight w:val="none"/>
        </w:rPr>
        <w:t>100,000*1.0200=102,000.00</w:t>
      </w:r>
      <w:r>
        <w:rPr>
          <w:rFonts w:hint="eastAsia" w:ascii="仿宋" w:hAnsi="仿宋" w:eastAsia="仿宋" w:cs="仿宋"/>
          <w:sz w:val="24"/>
          <w:highlight w:val="none"/>
        </w:rPr>
        <w:t>元</w:t>
      </w:r>
    </w:p>
    <w:p>
      <w:pPr>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sz w:val="24"/>
          <w:highlight w:val="none"/>
        </w:rPr>
      </w:pPr>
      <w:r>
        <w:rPr>
          <w:rFonts w:hint="eastAsia" w:ascii="仿宋" w:hAnsi="仿宋" w:eastAsia="仿宋" w:cs="仿宋"/>
          <w:sz w:val="24"/>
          <w:highlight w:val="none"/>
        </w:rPr>
        <w:t>例</w:t>
      </w:r>
      <w:r>
        <w:rPr>
          <w:rFonts w:ascii="仿宋" w:hAnsi="仿宋" w:eastAsia="仿宋" w:cs="仿宋"/>
          <w:sz w:val="24"/>
          <w:highlight w:val="none"/>
        </w:rPr>
        <w:t>3</w:t>
      </w:r>
      <w:r>
        <w:rPr>
          <w:rFonts w:hint="eastAsia" w:ascii="仿宋" w:hAnsi="仿宋" w:eastAsia="仿宋" w:cs="仿宋"/>
          <w:sz w:val="24"/>
          <w:highlight w:val="none"/>
        </w:rPr>
        <w:t>：理财产品到期后，若</w:t>
      </w:r>
      <w:r>
        <w:rPr>
          <w:rFonts w:hint="eastAsia" w:ascii="仿宋" w:hAnsi="仿宋" w:eastAsia="仿宋"/>
          <w:sz w:val="24"/>
          <w:highlight w:val="none"/>
        </w:rPr>
        <w:t>根据前述超额管理费条款，</w:t>
      </w:r>
      <w:r>
        <w:rPr>
          <w:rFonts w:hint="eastAsia" w:ascii="仿宋" w:hAnsi="仿宋" w:eastAsia="仿宋" w:cs="仿宋"/>
          <w:sz w:val="24"/>
          <w:highlight w:val="none"/>
        </w:rPr>
        <w:t>管理人不收取超额管理费，产品到期日份额净值为</w:t>
      </w:r>
      <w:r>
        <w:rPr>
          <w:rFonts w:ascii="仿宋" w:hAnsi="仿宋" w:eastAsia="仿宋" w:cs="仿宋"/>
          <w:sz w:val="24"/>
          <w:highlight w:val="none"/>
        </w:rPr>
        <w:t>0.9980</w:t>
      </w:r>
      <w:r>
        <w:rPr>
          <w:rFonts w:hint="eastAsia" w:ascii="仿宋" w:hAnsi="仿宋" w:eastAsia="仿宋" w:cs="仿宋"/>
          <w:sz w:val="24"/>
          <w:highlight w:val="none"/>
        </w:rPr>
        <w:t>，客户到期获得的金额为：</w:t>
      </w:r>
      <w:r>
        <w:rPr>
          <w:rFonts w:ascii="仿宋" w:hAnsi="仿宋" w:eastAsia="仿宋" w:cs="仿宋"/>
          <w:sz w:val="24"/>
          <w:highlight w:val="none"/>
        </w:rPr>
        <w:t>100,000*0.9980=99,800.00</w:t>
      </w:r>
      <w:r>
        <w:rPr>
          <w:rFonts w:hint="eastAsia" w:ascii="仿宋" w:hAnsi="仿宋" w:eastAsia="仿宋" w:cs="仿宋"/>
          <w:sz w:val="24"/>
          <w:highlight w:val="none"/>
        </w:rPr>
        <w:t>元。</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本理财产品所投资的货币市场工具、标准化债权类资产以及资产管理产品等资产。</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83"/>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83"/>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83"/>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83"/>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83"/>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本产品由于投资于货币市场工具、标准化债权类资产等固定收益类资产，因此可能面临如下特定风险：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 xml:space="preserve">4.投资于结构性存款的可能风险：（1）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t>5.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83"/>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83"/>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spacing w:line="276" w:lineRule="auto"/>
        <w:contextualSpacing/>
        <w:jc w:val="left"/>
        <w:rPr>
          <w:rFonts w:ascii="仿宋" w:hAnsi="仿宋" w:eastAsia="仿宋" w:cs="宋体"/>
          <w:sz w:val="24"/>
          <w:highlight w:val="none"/>
        </w:rPr>
      </w:pPr>
    </w:p>
    <w:p>
      <w:pPr>
        <w:spacing w:line="276" w:lineRule="auto"/>
        <w:contextualSpacing/>
        <w:jc w:val="left"/>
        <w:rPr>
          <w:rFonts w:ascii="仿宋" w:hAnsi="仿宋" w:eastAsia="仿宋" w:cs="宋体"/>
          <w:color w:val="000000"/>
          <w:sz w:val="24"/>
          <w:highlight w:val="none"/>
        </w:rPr>
      </w:pPr>
    </w:p>
    <w:p>
      <w:pPr>
        <w:spacing w:line="276" w:lineRule="auto"/>
        <w:ind w:firstLine="0"/>
        <w:contextualSpacing/>
        <w:jc w:val="left"/>
        <w:rPr>
          <w:rFonts w:ascii="仿宋" w:hAnsi="仿宋" w:eastAsia="仿宋" w:cs="宋体"/>
          <w:color w:val="000000"/>
          <w:sz w:val="24"/>
          <w:highlight w:val="none"/>
        </w:rPr>
      </w:pP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rPr>
          <w:highlight w:val="none"/>
        </w:rPr>
      </w:pPr>
    </w:p>
    <w:sectPr>
      <w:pgSz w:w="11906" w:h="16838"/>
      <w:pgMar w:top="1440" w:right="1800" w:bottom="1440" w:left="1800" w:header="851" w:footer="99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A05EF"/>
    <w:rsid w:val="053F27A4"/>
    <w:rsid w:val="0CCD1E1C"/>
    <w:rsid w:val="17D105FA"/>
    <w:rsid w:val="1BE5417A"/>
    <w:rsid w:val="20A63817"/>
    <w:rsid w:val="267B6F01"/>
    <w:rsid w:val="30A5295D"/>
    <w:rsid w:val="418A1A7B"/>
    <w:rsid w:val="44D418C3"/>
    <w:rsid w:val="485B7BAF"/>
    <w:rsid w:val="48855C04"/>
    <w:rsid w:val="4C0A12CF"/>
    <w:rsid w:val="502559CF"/>
    <w:rsid w:val="534D4621"/>
    <w:rsid w:val="54511D02"/>
    <w:rsid w:val="58D10596"/>
    <w:rsid w:val="5A467247"/>
    <w:rsid w:val="5C326053"/>
    <w:rsid w:val="61750674"/>
    <w:rsid w:val="6FD44CAB"/>
    <w:rsid w:val="7B2A0CBB"/>
    <w:rsid w:val="7C0E0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styleId="2">
    <w:name w:val="heading 1"/>
    <w:basedOn w:val="1"/>
    <w:next w:val="1"/>
    <w:link w:val="156"/>
    <w:qFormat/>
    <w:uiPriority w:val="9"/>
    <w:pPr>
      <w:keepNext/>
      <w:keepLines/>
      <w:spacing w:before="360" w:after="80"/>
      <w:outlineLvl w:val="0"/>
    </w:pPr>
    <w:rPr>
      <w:rFonts w:ascii="Arial" w:hAnsi="Arial" w:eastAsia="Arial" w:cs="Arial"/>
      <w:color w:val="2E75B6" w:themeColor="accent1" w:themeShade="BF"/>
      <w:sz w:val="40"/>
      <w:szCs w:val="40"/>
    </w:rPr>
  </w:style>
  <w:style w:type="paragraph" w:styleId="3">
    <w:name w:val="heading 2"/>
    <w:basedOn w:val="1"/>
    <w:next w:val="1"/>
    <w:link w:val="157"/>
    <w:unhideWhenUsed/>
    <w:qFormat/>
    <w:uiPriority w:val="9"/>
    <w:pPr>
      <w:keepNext/>
      <w:keepLines/>
      <w:spacing w:before="160" w:after="80"/>
      <w:outlineLvl w:val="1"/>
    </w:pPr>
    <w:rPr>
      <w:rFonts w:ascii="Arial" w:hAnsi="Arial" w:eastAsia="Arial" w:cs="Arial"/>
      <w:color w:val="2E75B6" w:themeColor="accent1" w:themeShade="BF"/>
      <w:sz w:val="32"/>
      <w:szCs w:val="32"/>
    </w:rPr>
  </w:style>
  <w:style w:type="paragraph" w:styleId="4">
    <w:name w:val="heading 3"/>
    <w:basedOn w:val="1"/>
    <w:next w:val="1"/>
    <w:link w:val="158"/>
    <w:unhideWhenUsed/>
    <w:qFormat/>
    <w:uiPriority w:val="9"/>
    <w:pPr>
      <w:keepNext/>
      <w:keepLines/>
      <w:spacing w:before="160" w:after="80"/>
      <w:outlineLvl w:val="2"/>
    </w:pPr>
    <w:rPr>
      <w:rFonts w:ascii="Arial" w:hAnsi="Arial" w:eastAsia="Arial" w:cs="Arial"/>
      <w:color w:val="2E75B6" w:themeColor="accent1" w:themeShade="BF"/>
      <w:sz w:val="28"/>
      <w:szCs w:val="28"/>
    </w:rPr>
  </w:style>
  <w:style w:type="paragraph" w:styleId="5">
    <w:name w:val="heading 4"/>
    <w:basedOn w:val="1"/>
    <w:next w:val="1"/>
    <w:link w:val="159"/>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0"/>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1"/>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2"/>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3"/>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4"/>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qFormat/>
    <w:uiPriority w:val="0"/>
    <w:pPr>
      <w:jc w:val="left"/>
    </w:pPr>
  </w:style>
  <w:style w:type="paragraph" w:styleId="13">
    <w:name w:val="Body Text Indent"/>
    <w:basedOn w:val="1"/>
    <w:unhideWhenUsed/>
    <w:qFormat/>
    <w:uiPriority w:val="0"/>
    <w:pPr>
      <w:ind w:firstLine="630"/>
    </w:pPr>
    <w:rPr>
      <w:sz w:val="24"/>
    </w:rPr>
  </w:style>
  <w:style w:type="paragraph" w:styleId="14">
    <w:name w:val="endnote text"/>
    <w:basedOn w:val="1"/>
    <w:link w:val="181"/>
    <w:semiHidden/>
    <w:unhideWhenUsed/>
    <w:qFormat/>
    <w:uiPriority w:val="99"/>
    <w:pPr>
      <w:spacing w:after="0" w:line="240" w:lineRule="auto"/>
    </w:pPr>
    <w:rPr>
      <w:sz w:val="20"/>
      <w:szCs w:val="20"/>
    </w:rPr>
  </w:style>
  <w:style w:type="paragraph" w:styleId="15">
    <w:name w:val="footer"/>
    <w:basedOn w:val="1"/>
    <w:link w:val="179"/>
    <w:unhideWhenUsed/>
    <w:qFormat/>
    <w:uiPriority w:val="99"/>
    <w:pPr>
      <w:tabs>
        <w:tab w:val="center" w:pos="4844"/>
        <w:tab w:val="right" w:pos="9689"/>
      </w:tabs>
      <w:spacing w:after="0" w:line="240" w:lineRule="auto"/>
    </w:pPr>
  </w:style>
  <w:style w:type="paragraph" w:styleId="16">
    <w:name w:val="header"/>
    <w:basedOn w:val="1"/>
    <w:link w:val="178"/>
    <w:unhideWhenUsed/>
    <w:qFormat/>
    <w:uiPriority w:val="99"/>
    <w:pPr>
      <w:tabs>
        <w:tab w:val="center" w:pos="4844"/>
        <w:tab w:val="right" w:pos="9689"/>
      </w:tabs>
      <w:spacing w:after="0" w:line="240" w:lineRule="auto"/>
    </w:pPr>
  </w:style>
  <w:style w:type="paragraph" w:styleId="17">
    <w:name w:val="Subtitle"/>
    <w:basedOn w:val="1"/>
    <w:next w:val="1"/>
    <w:link w:val="166"/>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8">
    <w:name w:val="footnote text"/>
    <w:basedOn w:val="1"/>
    <w:link w:val="180"/>
    <w:semiHidden/>
    <w:unhideWhenUsed/>
    <w:qFormat/>
    <w:uiPriority w:val="99"/>
    <w:pPr>
      <w:spacing w:after="0" w:line="240" w:lineRule="auto"/>
    </w:pPr>
    <w:rPr>
      <w:sz w:val="20"/>
      <w:szCs w:val="20"/>
    </w:rPr>
  </w:style>
  <w:style w:type="paragraph" w:styleId="19">
    <w:name w:val="table of figures"/>
    <w:basedOn w:val="1"/>
    <w:next w:val="1"/>
    <w:unhideWhenUsed/>
    <w:qFormat/>
    <w:uiPriority w:val="99"/>
    <w:pPr>
      <w:spacing w:after="0" w:afterAutospacing="0"/>
    </w:pPr>
  </w:style>
  <w:style w:type="paragraph" w:styleId="20">
    <w:name w:val="Title"/>
    <w:basedOn w:val="1"/>
    <w:next w:val="1"/>
    <w:link w:val="165"/>
    <w:qFormat/>
    <w:uiPriority w:val="10"/>
    <w:pPr>
      <w:spacing w:after="80" w:line="240" w:lineRule="auto"/>
      <w:contextualSpacing/>
    </w:pPr>
    <w:rPr>
      <w:rFonts w:ascii="Arial" w:hAnsi="Arial" w:eastAsia="Arial" w:cs="Arial"/>
      <w:spacing w:val="-10"/>
      <w:sz w:val="56"/>
      <w:szCs w:val="56"/>
    </w:rPr>
  </w:style>
  <w:style w:type="table" w:styleId="22">
    <w:name w:val="Table Grid"/>
    <w:basedOn w:val="21"/>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4">
    <w:name w:val="Strong"/>
    <w:basedOn w:val="23"/>
    <w:qFormat/>
    <w:uiPriority w:val="22"/>
    <w:rPr>
      <w:b/>
      <w:bCs/>
    </w:rPr>
  </w:style>
  <w:style w:type="character" w:styleId="25">
    <w:name w:val="endnote reference"/>
    <w:basedOn w:val="23"/>
    <w:semiHidden/>
    <w:unhideWhenUsed/>
    <w:qFormat/>
    <w:uiPriority w:val="99"/>
    <w:rPr>
      <w:vertAlign w:val="superscript"/>
    </w:rPr>
  </w:style>
  <w:style w:type="character" w:styleId="26">
    <w:name w:val="FollowedHyperlink"/>
    <w:basedOn w:val="23"/>
    <w:semiHidden/>
    <w:unhideWhenUsed/>
    <w:qFormat/>
    <w:uiPriority w:val="99"/>
    <w:rPr>
      <w:color w:val="954F72" w:themeColor="followedHyperlink"/>
      <w:u w:val="single"/>
      <w14:textFill>
        <w14:solidFill>
          <w14:schemeClr w14:val="folHlink"/>
        </w14:solidFill>
      </w14:textFill>
    </w:rPr>
  </w:style>
  <w:style w:type="character" w:styleId="27">
    <w:name w:val="Emphasis"/>
    <w:basedOn w:val="23"/>
    <w:qFormat/>
    <w:uiPriority w:val="20"/>
    <w:rPr>
      <w:i/>
      <w:iCs/>
    </w:rPr>
  </w:style>
  <w:style w:type="character" w:styleId="28">
    <w:name w:val="Hyperlink"/>
    <w:basedOn w:val="23"/>
    <w:unhideWhenUsed/>
    <w:qFormat/>
    <w:uiPriority w:val="99"/>
    <w:rPr>
      <w:color w:val="0563C1" w:themeColor="hyperlink"/>
      <w:u w:val="single"/>
      <w14:textFill>
        <w14:solidFill>
          <w14:schemeClr w14:val="hlink"/>
        </w14:solidFill>
      </w14:textFill>
    </w:rPr>
  </w:style>
  <w:style w:type="character" w:styleId="29">
    <w:name w:val="annotation reference"/>
    <w:qFormat/>
    <w:uiPriority w:val="0"/>
    <w:rPr>
      <w:sz w:val="21"/>
      <w:szCs w:val="21"/>
    </w:rPr>
  </w:style>
  <w:style w:type="character" w:styleId="30">
    <w:name w:val="footnote reference"/>
    <w:basedOn w:val="23"/>
    <w:semiHidden/>
    <w:unhideWhenUsed/>
    <w:qFormat/>
    <w:uiPriority w:val="99"/>
    <w:rPr>
      <w:vertAlign w:val="superscript"/>
    </w:rPr>
  </w:style>
  <w:style w:type="table" w:customStyle="1" w:styleId="31">
    <w:name w:val="Table Grid Light"/>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2">
    <w:name w:val="Plain Table 1"/>
    <w:basedOn w:val="21"/>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3">
    <w:name w:val="Plain Table 2"/>
    <w:basedOn w:val="21"/>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4">
    <w:name w:val="Plain Table 3"/>
    <w:basedOn w:val="21"/>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5">
    <w:name w:val="Plain Table 4"/>
    <w:basedOn w:val="21"/>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6">
    <w:name w:val="Plain Table 5"/>
    <w:basedOn w:val="21"/>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7">
    <w:name w:val="Grid Table 1 Light"/>
    <w:basedOn w:val="21"/>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38">
    <w:name w:val="Grid Table 1 Light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39">
    <w:name w:val="Grid Table 1 Light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0">
    <w:name w:val="Grid Table 1 Light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1">
    <w:name w:val="Grid Table 1 Light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2">
    <w:name w:val="Grid Table 1 Light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3">
    <w:name w:val="Grid Table 1 Light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4">
    <w:name w:val="Grid Table 2"/>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45">
    <w:name w:val="Grid Table 2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46">
    <w:name w:val="Grid Table 2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47">
    <w:name w:val="Grid Table 2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48">
    <w:name w:val="Grid Table 2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49">
    <w:name w:val="Grid Table 2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0">
    <w:name w:val="Grid Table 2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1">
    <w:name w:val="Grid Table 3"/>
    <w:basedOn w:val="21"/>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2">
    <w:name w:val="Grid Table 3 - Accent 1"/>
    <w:basedOn w:val="21"/>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themeColor="accent1" w:themeTint="34" w:fill="DDEAF6" w:themeFill="accent1" w:themeFillTint="34"/>
      </w:tcPr>
    </w:tblStylePr>
    <w:tblStylePr w:type="band2Vert"/>
    <w:tblStylePr w:type="band1Horz">
      <w:rPr>
        <w:rFonts w:ascii="Arial" w:hAnsi="Arial"/>
        <w:color w:val="404040"/>
        <w:sz w:val="22"/>
      </w:rPr>
      <w:tcPr>
        <w:shd w:val="clear" w:color="DDEAF6" w:themeColor="accent1" w:themeTint="34" w:fill="DDEAF6" w:themeFill="accent1" w:themeFillTint="34"/>
      </w:tcPr>
    </w:tblStylePr>
    <w:tblStylePr w:type="band2Horz"/>
    <w:tblStylePr w:type="neCell"/>
    <w:tblStylePr w:type="nwCell"/>
    <w:tblStylePr w:type="seCell"/>
    <w:tblStylePr w:type="swCell"/>
  </w:style>
  <w:style w:type="table" w:customStyle="1" w:styleId="53">
    <w:name w:val="Grid Table 3 - Accent 2"/>
    <w:basedOn w:val="21"/>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54">
    <w:name w:val="Grid Table 3 - Accent 3"/>
    <w:basedOn w:val="21"/>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55">
    <w:name w:val="Grid Table 3 - Accent 4"/>
    <w:basedOn w:val="21"/>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56">
    <w:name w:val="Grid Table 3 - Accent 5"/>
    <w:basedOn w:val="21"/>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57">
    <w:name w:val="Grid Table 3 - Accent 6"/>
    <w:basedOn w:val="21"/>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58">
    <w:name w:val="Grid Table 4"/>
    <w:basedOn w:val="21"/>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9">
    <w:name w:val="Grid Table 4 - Accent 1"/>
    <w:basedOn w:val="21"/>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themeColor="accent1" w:themeTint="EA" w:fill="68A3D8" w:themeFill="accent1" w:themeFillTint="EA"/>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themeColor="accent1" w:themeTint="32" w:fill="DEEBF6" w:themeFill="accent1" w:themeFillTint="32"/>
      </w:tcPr>
    </w:tblStylePr>
    <w:tblStylePr w:type="band2Vert"/>
    <w:tblStylePr w:type="band1Horz">
      <w:rPr>
        <w:rFonts w:ascii="Arial" w:hAnsi="Arial"/>
        <w:color w:val="404040"/>
        <w:sz w:val="22"/>
      </w:rPr>
      <w:tcPr>
        <w:shd w:val="clear" w:color="DEEBF6" w:themeColor="accent1" w:themeTint="32" w:fill="DEEBF6" w:themeFill="accent1" w:themeFillTint="32"/>
      </w:tcPr>
    </w:tblStylePr>
    <w:tblStylePr w:type="band2Horz"/>
    <w:tblStylePr w:type="neCell"/>
    <w:tblStylePr w:type="nwCell"/>
    <w:tblStylePr w:type="seCell"/>
    <w:tblStylePr w:type="swCell"/>
  </w:style>
  <w:style w:type="table" w:customStyle="1" w:styleId="60">
    <w:name w:val="Grid Table 4 - Accent 2"/>
    <w:basedOn w:val="21"/>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themeColor="accent2" w:themeTint="97" w:fill="F4B285" w:themeFill="accent2" w:themeFillTint="97"/>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themeColor="accent2" w:themeTint="32" w:fill="FBE5D6" w:themeFill="accent2" w:themeFillTint="32"/>
      </w:tcPr>
    </w:tblStylePr>
    <w:tblStylePr w:type="band2Vert"/>
    <w:tblStylePr w:type="band1Horz">
      <w:rPr>
        <w:rFonts w:ascii="Arial" w:hAnsi="Arial"/>
        <w:color w:val="404040"/>
        <w:sz w:val="22"/>
      </w:rPr>
      <w:tcPr>
        <w:shd w:val="clear" w:color="FBE5D6" w:themeColor="accent2" w:themeTint="32" w:fill="FBE5D6" w:themeFill="accent2" w:themeFillTint="32"/>
      </w:tcPr>
    </w:tblStylePr>
    <w:tblStylePr w:type="band2Horz"/>
    <w:tblStylePr w:type="neCell"/>
    <w:tblStylePr w:type="nwCell"/>
    <w:tblStylePr w:type="seCell"/>
    <w:tblStylePr w:type="swCell"/>
  </w:style>
  <w:style w:type="table" w:customStyle="1" w:styleId="61">
    <w:name w:val="Grid Table 4 - Accent 3"/>
    <w:basedOn w:val="21"/>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themeColor="accent3" w:themeTint="34" w:fill="ECECEC" w:themeFill="accent3" w:themeFillTint="34"/>
      </w:tcPr>
    </w:tblStylePr>
    <w:tblStylePr w:type="band2Vert"/>
    <w:tblStylePr w:type="band1Horz">
      <w:rPr>
        <w:rFonts w:ascii="Arial" w:hAnsi="Arial"/>
        <w:color w:val="404040"/>
        <w:sz w:val="22"/>
      </w:rPr>
      <w:tcPr>
        <w:shd w:val="clear" w:color="ECECEC" w:themeColor="accent3" w:themeTint="34" w:fill="ECECEC" w:themeFill="accent3" w:themeFillTint="34"/>
      </w:tcPr>
    </w:tblStylePr>
    <w:tblStylePr w:type="band2Horz"/>
    <w:tblStylePr w:type="neCell"/>
    <w:tblStylePr w:type="nwCell"/>
    <w:tblStylePr w:type="seCell"/>
    <w:tblStylePr w:type="swCell"/>
  </w:style>
  <w:style w:type="table" w:customStyle="1" w:styleId="62">
    <w:name w:val="Grid Table 4 - Accent 4"/>
    <w:basedOn w:val="21"/>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themeColor="accent4" w:themeTint="9A" w:fill="FFD864" w:themeFill="accent4" w:themeFillTint="9A"/>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themeColor="accent4" w:themeTint="34" w:fill="FEF2CA" w:themeFill="accent4" w:themeFillTint="34"/>
      </w:tcPr>
    </w:tblStylePr>
    <w:tblStylePr w:type="band2Vert"/>
    <w:tblStylePr w:type="band1Horz">
      <w:rPr>
        <w:rFonts w:ascii="Arial" w:hAnsi="Arial"/>
        <w:color w:val="404040"/>
        <w:sz w:val="22"/>
      </w:rPr>
      <w:tcPr>
        <w:shd w:val="clear" w:color="FEF2CA" w:themeColor="accent4" w:themeTint="34" w:fill="FEF2CA" w:themeFill="accent4" w:themeFillTint="34"/>
      </w:tcPr>
    </w:tblStylePr>
    <w:tblStylePr w:type="band2Horz"/>
    <w:tblStylePr w:type="neCell"/>
    <w:tblStylePr w:type="nwCell"/>
    <w:tblStylePr w:type="seCell"/>
    <w:tblStylePr w:type="swCell"/>
  </w:style>
  <w:style w:type="table" w:customStyle="1" w:styleId="63">
    <w:name w:val="Grid Table 4 - Accent 5"/>
    <w:basedOn w:val="21"/>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themeColor="accent5" w:themeTint="34" w:fill="D8E2F2" w:themeFill="accent5" w:themeFillTint="34"/>
      </w:tcPr>
    </w:tblStylePr>
    <w:tblStylePr w:type="band2Vert"/>
    <w:tblStylePr w:type="band1Horz">
      <w:rPr>
        <w:rFonts w:ascii="Arial" w:hAnsi="Arial"/>
        <w:color w:val="404040"/>
        <w:sz w:val="22"/>
      </w:rPr>
      <w:tcPr>
        <w:shd w:val="clear" w:color="D8E2F2" w:themeColor="accent5" w:themeTint="34" w:fill="D8E2F2" w:themeFill="accent5" w:themeFillTint="34"/>
      </w:tcPr>
    </w:tblStylePr>
    <w:tblStylePr w:type="band2Horz"/>
    <w:tblStylePr w:type="neCell"/>
    <w:tblStylePr w:type="nwCell"/>
    <w:tblStylePr w:type="seCell"/>
    <w:tblStylePr w:type="swCell"/>
  </w:style>
  <w:style w:type="table" w:customStyle="1" w:styleId="64">
    <w:name w:val="Grid Table 4 - Accent 6"/>
    <w:basedOn w:val="21"/>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themeColor="accent6" w:themeTint="34" w:fill="E1EFD8" w:themeFill="accent6" w:themeFillTint="34"/>
      </w:tcPr>
    </w:tblStylePr>
    <w:tblStylePr w:type="band2Vert"/>
    <w:tblStylePr w:type="band1Horz">
      <w:rPr>
        <w:rFonts w:ascii="Arial" w:hAnsi="Arial"/>
        <w:color w:val="404040"/>
        <w:sz w:val="22"/>
      </w:rPr>
      <w:tcPr>
        <w:shd w:val="clear" w:color="E1EFD8" w:themeColor="accent6" w:themeTint="34" w:fill="E1EFD8" w:themeFill="accent6" w:themeFillTint="34"/>
      </w:tcPr>
    </w:tblStylePr>
    <w:tblStylePr w:type="band2Horz"/>
    <w:tblStylePr w:type="neCell"/>
    <w:tblStylePr w:type="nwCell"/>
    <w:tblStylePr w:type="seCell"/>
    <w:tblStylePr w:type="swCell"/>
  </w:style>
  <w:style w:type="table" w:customStyle="1" w:styleId="65">
    <w:name w:val="Grid Table 5 Dark"/>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66">
    <w:name w:val="Grid Table 5 Dark- Accent 1"/>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tblStylePr w:type="firstCol">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band1Vert">
      <w:tcPr>
        <w:shd w:val="clear" w:color="B3D1EB" w:themeColor="accent1" w:themeTint="75" w:fill="B3D1EB" w:themeFill="accent1" w:themeFillTint="75"/>
      </w:tcPr>
    </w:tblStylePr>
    <w:tblStylePr w:type="band2Vert"/>
    <w:tblStylePr w:type="band1Horz">
      <w:tcPr>
        <w:shd w:val="clear" w:color="B3D1EB" w:themeColor="accent1" w:themeTint="75" w:fill="B3D1EB" w:themeFill="accent1" w:themeFillTint="75"/>
      </w:tcPr>
    </w:tblStylePr>
    <w:tblStylePr w:type="band2Horz"/>
    <w:tblStylePr w:type="neCell"/>
    <w:tblStylePr w:type="nwCell"/>
    <w:tblStylePr w:type="seCell"/>
    <w:tblStylePr w:type="swCell"/>
  </w:style>
  <w:style w:type="table" w:customStyle="1" w:styleId="67">
    <w:name w:val="Grid Table 5 Dark - Accent 2"/>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tblStylePr w:type="firstCol">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band1Vert">
      <w:tcPr>
        <w:shd w:val="clear" w:color="F6C3A0" w:themeColor="accent2" w:themeTint="75" w:fill="F6C3A0" w:themeFill="accent2" w:themeFillTint="75"/>
      </w:tcPr>
    </w:tblStylePr>
    <w:tblStylePr w:type="band2Vert"/>
    <w:tblStylePr w:type="band1Horz">
      <w:tcPr>
        <w:shd w:val="clear" w:color="F6C3A0" w:themeColor="accent2" w:themeTint="75" w:fill="F6C3A0" w:themeFill="accent2" w:themeFillTint="75"/>
      </w:tcPr>
    </w:tblStylePr>
    <w:tblStylePr w:type="band2Horz"/>
    <w:tblStylePr w:type="neCell"/>
    <w:tblStylePr w:type="nwCell"/>
    <w:tblStylePr w:type="seCell"/>
    <w:tblStylePr w:type="swCell"/>
  </w:style>
  <w:style w:type="table" w:customStyle="1" w:styleId="68">
    <w:name w:val="Grid Table 5 Dark - Accent 3"/>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tblStylePr w:type="firstCol">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band1Vert">
      <w:tcPr>
        <w:shd w:val="clear" w:color="D5D5D5" w:themeColor="accent3" w:themeTint="75" w:fill="D5D5D5" w:themeFill="accent3" w:themeFillTint="75"/>
      </w:tcPr>
    </w:tblStylePr>
    <w:tblStylePr w:type="band2Vert"/>
    <w:tblStylePr w:type="band1Horz">
      <w:tcPr>
        <w:shd w:val="clear" w:color="D5D5D5" w:themeColor="accent3" w:themeTint="75" w:fill="D5D5D5" w:themeFill="accent3" w:themeFillTint="75"/>
      </w:tcPr>
    </w:tblStylePr>
    <w:tblStylePr w:type="band2Horz"/>
    <w:tblStylePr w:type="neCell"/>
    <w:tblStylePr w:type="nwCell"/>
    <w:tblStylePr w:type="seCell"/>
    <w:tblStylePr w:type="swCell"/>
  </w:style>
  <w:style w:type="table" w:customStyle="1" w:styleId="69">
    <w:name w:val="Grid Table 5 Dark- Accent 4"/>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tblStylePr w:type="firstCol">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band1Vert">
      <w:tcPr>
        <w:shd w:val="clear" w:color="FEE289" w:themeColor="accent4" w:themeTint="75" w:fill="FEE289" w:themeFill="accent4" w:themeFillTint="75"/>
      </w:tcPr>
    </w:tblStylePr>
    <w:tblStylePr w:type="band2Vert"/>
    <w:tblStylePr w:type="band1Horz">
      <w:tcPr>
        <w:shd w:val="clear" w:color="FEE289" w:themeColor="accent4" w:themeTint="75" w:fill="FEE289" w:themeFill="accent4" w:themeFillTint="75"/>
      </w:tcPr>
    </w:tblStylePr>
    <w:tblStylePr w:type="band2Horz"/>
    <w:tblStylePr w:type="neCell"/>
    <w:tblStylePr w:type="nwCell"/>
    <w:tblStylePr w:type="seCell"/>
    <w:tblStylePr w:type="swCell"/>
  </w:style>
  <w:style w:type="table" w:customStyle="1" w:styleId="70">
    <w:name w:val="Grid Table 5 Dark - Accent 5"/>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tblStylePr w:type="firstCol">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band1Vert">
      <w:tcPr>
        <w:shd w:val="clear" w:color="A9BEE3" w:themeColor="accent5" w:themeTint="75" w:fill="A9BEE3" w:themeFill="accent5" w:themeFillTint="75"/>
      </w:tcPr>
    </w:tblStylePr>
    <w:tblStylePr w:type="band2Vert"/>
    <w:tblStylePr w:type="band1Horz">
      <w:tcPr>
        <w:shd w:val="clear" w:color="A9BEE3" w:themeColor="accent5" w:themeTint="75" w:fill="A9BEE3" w:themeFill="accent5" w:themeFillTint="75"/>
      </w:tcPr>
    </w:tblStylePr>
    <w:tblStylePr w:type="band2Horz"/>
    <w:tblStylePr w:type="neCell"/>
    <w:tblStylePr w:type="nwCell"/>
    <w:tblStylePr w:type="seCell"/>
    <w:tblStylePr w:type="swCell"/>
  </w:style>
  <w:style w:type="table" w:customStyle="1" w:styleId="71">
    <w:name w:val="Grid Table 5 Dark - Accent 6"/>
    <w:basedOn w:val="21"/>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tblStylePr w:type="firstCol">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band1Vert">
      <w:tcPr>
        <w:shd w:val="clear" w:color="BCDBA8" w:themeColor="accent6" w:themeTint="75" w:fill="BCDBA8" w:themeFill="accent6" w:themeFillTint="75"/>
      </w:tcPr>
    </w:tblStylePr>
    <w:tblStylePr w:type="band2Vert"/>
    <w:tblStylePr w:type="band1Horz">
      <w:tcPr>
        <w:shd w:val="clear" w:color="BCDBA8" w:themeColor="accent6" w:themeTint="75" w:fill="BCDBA8" w:themeFill="accent6" w:themeFillTint="75"/>
      </w:tcPr>
    </w:tblStylePr>
    <w:tblStylePr w:type="band2Horz"/>
    <w:tblStylePr w:type="neCell"/>
    <w:tblStylePr w:type="nwCell"/>
    <w:tblStylePr w:type="seCell"/>
    <w:tblStylePr w:type="swCell"/>
  </w:style>
  <w:style w:type="table" w:customStyle="1" w:styleId="72">
    <w:name w:val="Grid Table 6 Colorful"/>
    <w:basedOn w:val="21"/>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3">
    <w:name w:val="Grid Table 6 Colorful - Accent 1"/>
    <w:basedOn w:val="21"/>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4">
    <w:name w:val="Grid Table 6 Colorful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75">
    <w:name w:val="Grid Table 6 Colorful - Accent 3"/>
    <w:basedOn w:val="21"/>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76">
    <w:name w:val="Grid Table 6 Colorful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77">
    <w:name w:val="Grid Table 6 Colorful - Accent 5"/>
    <w:basedOn w:val="21"/>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8">
    <w:name w:val="Grid Table 6 Colorful - Accent 6"/>
    <w:basedOn w:val="21"/>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themeColor="accent6" w:themeTint="34" w:fill="E1EFD8" w:themeFill="accent6" w:themeFillTint="34"/>
      </w:tcPr>
    </w:tblStylePr>
    <w:tblStylePr w:type="band2Vert"/>
    <w:tblStylePr w:type="band1Horz">
      <w:rPr>
        <w:rFonts w:ascii="Arial" w:hAnsi="Arial"/>
        <w:color w:val="254174" w:themeColor="accent5" w:themeShade="94"/>
        <w:sz w:val="22"/>
      </w:rPr>
      <w:tcPr>
        <w:shd w:val="clear" w:color="E1EFD8" w:themeColor="accent6" w:themeTint="34" w:fill="E1EFD8" w:themeFill="accent6"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79">
    <w:name w:val="Grid Table 7 Colorful"/>
    <w:basedOn w:val="21"/>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0">
    <w:name w:val="Grid Table 7 Colorful - Accent 1"/>
    <w:basedOn w:val="21"/>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themeColor="light1" w:fill="FFFFFF" w:themeFill="light1"/>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themeColor="accent1" w:themeTint="34" w:fill="DDEAF6" w:themeFill="accent1" w:themeFillTint="34"/>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themeColor="accent1" w:themeTint="34" w:fill="DDEAF6" w:themeFill="accent1" w:themeFillTint="34"/>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1">
    <w:name w:val="Grid Table 7 Colorful - Accent 2"/>
    <w:basedOn w:val="21"/>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themeColor="accent2" w:themeTint="32" w:fill="FBE5D6" w:themeFill="accent2" w:themeFillTint="32"/>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themeColor="accent2" w:themeTint="32"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2">
    <w:name w:val="Grid Table 7 Colorful - Accent 3"/>
    <w:basedOn w:val="21"/>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themeColor="light1" w:fill="FFFFFF" w:themeFill="light1"/>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themeColor="accent3" w:themeTint="34" w:fill="ECECEC" w:themeFill="accent3" w:themeFillTint="34"/>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themeColor="accent3" w:themeTint="34" w:fill="ECECEC" w:themeFill="accent3" w:themeFillTint="34"/>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3">
    <w:name w:val="Grid Table 7 Colorful - Accent 4"/>
    <w:basedOn w:val="21"/>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themeColor="accent4" w:themeTint="34" w:fill="FEF2CA" w:themeFill="accent4" w:themeFillTint="34"/>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themeColor="accent4" w:themeTint="34"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4">
    <w:name w:val="Grid Table 7 Colorful - Accent 5"/>
    <w:basedOn w:val="21"/>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themeColor="light1" w:fill="FFFFFF" w:themeFill="light1"/>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themeColor="accent5" w:themeTint="34" w:fill="D8E2F2" w:themeFill="accent5" w:themeFillTint="34"/>
      </w:tcPr>
    </w:tblStylePr>
    <w:tblStylePr w:type="band2Vert"/>
    <w:tblStylePr w:type="band1Horz">
      <w:rPr>
        <w:rFonts w:ascii="Arial" w:hAnsi="Arial"/>
        <w:color w:val="254174" w:themeColor="accent5" w:themeShade="94"/>
        <w:sz w:val="22"/>
      </w:rPr>
      <w:tcPr>
        <w:shd w:val="clear" w:color="D8E2F2" w:themeColor="accent5" w:themeTint="34" w:fill="D8E2F2" w:themeFill="accent5" w:themeFillTint="34"/>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5">
    <w:name w:val="Grid Table 7 Colorful - Accent 6"/>
    <w:basedOn w:val="21"/>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themeColor="light1" w:fill="FFFFFF" w:themeFill="light1"/>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themeColor="accent6" w:themeTint="34" w:fill="E1EFD8" w:themeFill="accent6" w:themeFillTint="34"/>
      </w:tcPr>
    </w:tblStylePr>
    <w:tblStylePr w:type="band2Vert"/>
    <w:tblStylePr w:type="band1Horz">
      <w:rPr>
        <w:rFonts w:ascii="Arial" w:hAnsi="Arial"/>
        <w:color w:val="416429" w:themeColor="accent6" w:themeShade="94"/>
        <w:sz w:val="22"/>
      </w:rPr>
      <w:tcPr>
        <w:shd w:val="clear" w:color="E1EFD8" w:themeColor="accent6" w:themeTint="34" w:fill="E1EFD8" w:themeFill="accent6" w:themeFillTint="34"/>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86">
    <w:name w:val="List Table 1 Light"/>
    <w:basedOn w:val="21"/>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87">
    <w:name w:val="List Table 1 Light - Accent 1"/>
    <w:basedOn w:val="21"/>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themeColor="accent1" w:themeTint="40" w:fill="D5E5F4" w:themeFill="accent1" w:themeFillTint="40"/>
      </w:tcPr>
    </w:tblStylePr>
    <w:tblStylePr w:type="band2Vert"/>
    <w:tblStylePr w:type="band1Horz">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88">
    <w:name w:val="List Table 1 Light - Accent 2"/>
    <w:basedOn w:val="21"/>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themeColor="accent2" w:themeTint="40" w:fill="FADECB" w:themeFill="accent2" w:themeFillTint="40"/>
      </w:tcPr>
    </w:tblStylePr>
    <w:tblStylePr w:type="band2Vert"/>
    <w:tblStylePr w:type="band1Horz">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89">
    <w:name w:val="List Table 1 Light - Accent 3"/>
    <w:basedOn w:val="21"/>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themeColor="accent3" w:themeTint="40" w:fill="E8E8E8" w:themeFill="accent3" w:themeFillTint="40"/>
      </w:tcPr>
    </w:tblStylePr>
    <w:tblStylePr w:type="band2Vert"/>
    <w:tblStylePr w:type="band1Horz">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0">
    <w:name w:val="List Table 1 Light - Accent 4"/>
    <w:basedOn w:val="21"/>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themeColor="accent4" w:themeTint="40" w:fill="FFEFBE" w:themeFill="accent4" w:themeFillTint="40"/>
      </w:tcPr>
    </w:tblStylePr>
    <w:tblStylePr w:type="band2Vert"/>
    <w:tblStylePr w:type="band1Horz">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1">
    <w:name w:val="List Table 1 Light - Accent 5"/>
    <w:basedOn w:val="21"/>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themeColor="accent5" w:themeTint="40" w:fill="D0DBF0" w:themeFill="accent5" w:themeFillTint="40"/>
      </w:tcPr>
    </w:tblStylePr>
    <w:tblStylePr w:type="band2Vert"/>
    <w:tblStylePr w:type="band1Horz">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2">
    <w:name w:val="List Table 1 Light - Accent 6"/>
    <w:basedOn w:val="21"/>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themeColor="accent6" w:themeTint="40" w:fill="DAEBCF" w:themeFill="accent6" w:themeFillTint="40"/>
      </w:tcPr>
    </w:tblStylePr>
    <w:tblStylePr w:type="band2Vert"/>
    <w:tblStylePr w:type="band1Horz">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93">
    <w:name w:val="List Table 2"/>
    <w:basedOn w:val="21"/>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4">
    <w:name w:val="List Table 2 - Accent 1"/>
    <w:basedOn w:val="21"/>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95">
    <w:name w:val="List Table 2 - Accent 2"/>
    <w:basedOn w:val="21"/>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96">
    <w:name w:val="List Table 2 - Accent 3"/>
    <w:basedOn w:val="21"/>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97">
    <w:name w:val="List Table 2 - Accent 4"/>
    <w:basedOn w:val="21"/>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98">
    <w:name w:val="List Table 2 - Accent 5"/>
    <w:basedOn w:val="21"/>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99">
    <w:name w:val="List Table 2 - Accent 6"/>
    <w:basedOn w:val="21"/>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00">
    <w:name w:val="List Table 3"/>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1">
    <w:name w:val="List Table 3 - Accent 1"/>
    <w:basedOn w:val="21"/>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2">
    <w:name w:val="List Table 3 - Accent 2"/>
    <w:basedOn w:val="21"/>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themeColor="accent2" w:themeTint="97"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3">
    <w:name w:val="List Table 3 - Accent 3"/>
    <w:basedOn w:val="21"/>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4">
    <w:name w:val="List Table 3 - Accent 4"/>
    <w:basedOn w:val="21"/>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themeColor="accent4" w:themeTint="9A"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05">
    <w:name w:val="List Table 3 - Accent 5"/>
    <w:basedOn w:val="21"/>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themeColor="accent5" w:themeTint="9A" w:fill="8E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06">
    <w:name w:val="List Table 3 - Accent 6"/>
    <w:basedOn w:val="21"/>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07">
    <w:name w:val="List Table 4"/>
    <w:basedOn w:val="21"/>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08">
    <w:name w:val="List Table 4 - Accent 1"/>
    <w:basedOn w:val="21"/>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themeColor="accent1" w:themeTint="40" w:fill="D5E5F4" w:themeFill="accent1" w:themeFillTint="40"/>
      </w:tcPr>
    </w:tblStylePr>
    <w:tblStylePr w:type="band2Vert"/>
    <w:tblStylePr w:type="band1Horz">
      <w:rPr>
        <w:rFonts w:ascii="Arial" w:hAnsi="Arial"/>
        <w:color w:val="404040"/>
        <w:sz w:val="22"/>
      </w:rPr>
      <w:tcPr>
        <w:shd w:val="clear" w:color="D5E5F4" w:themeColor="accent1" w:themeTint="40" w:fill="D5E5F4" w:themeFill="accent1" w:themeFillTint="40"/>
      </w:tcPr>
    </w:tblStylePr>
    <w:tblStylePr w:type="band2Horz"/>
    <w:tblStylePr w:type="neCell"/>
    <w:tblStylePr w:type="nwCell"/>
    <w:tblStylePr w:type="seCell"/>
    <w:tblStylePr w:type="swCell"/>
  </w:style>
  <w:style w:type="table" w:customStyle="1" w:styleId="109">
    <w:name w:val="List Table 4 - Accent 2"/>
    <w:basedOn w:val="21"/>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themeColor="accent2" w:themeTint="40" w:fill="FADECB" w:themeFill="accent2" w:themeFillTint="40"/>
      </w:tcPr>
    </w:tblStylePr>
    <w:tblStylePr w:type="band2Vert"/>
    <w:tblStylePr w:type="band1Horz">
      <w:rPr>
        <w:rFonts w:ascii="Arial" w:hAnsi="Arial"/>
        <w:color w:val="404040"/>
        <w:sz w:val="22"/>
      </w:rPr>
      <w:tcPr>
        <w:shd w:val="clear" w:color="FADECB" w:themeColor="accent2" w:themeTint="40" w:fill="FADECB" w:themeFill="accent2" w:themeFillTint="40"/>
      </w:tcPr>
    </w:tblStylePr>
    <w:tblStylePr w:type="band2Horz"/>
    <w:tblStylePr w:type="neCell"/>
    <w:tblStylePr w:type="nwCell"/>
    <w:tblStylePr w:type="seCell"/>
    <w:tblStylePr w:type="swCell"/>
  </w:style>
  <w:style w:type="table" w:customStyle="1" w:styleId="110">
    <w:name w:val="List Table 4 - Accent 3"/>
    <w:basedOn w:val="21"/>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themeColor="accent3" w:themeTint="40" w:fill="E8E8E8" w:themeFill="accent3" w:themeFillTint="40"/>
      </w:tcPr>
    </w:tblStylePr>
    <w:tblStylePr w:type="band2Vert"/>
    <w:tblStylePr w:type="band1Horz">
      <w:rPr>
        <w:rFonts w:ascii="Arial" w:hAnsi="Arial"/>
        <w:color w:val="404040"/>
        <w:sz w:val="22"/>
      </w:rPr>
      <w:tcPr>
        <w:shd w:val="clear" w:color="E8E8E8" w:themeColor="accent3" w:themeTint="40" w:fill="E8E8E8" w:themeFill="accent3" w:themeFillTint="40"/>
      </w:tcPr>
    </w:tblStylePr>
    <w:tblStylePr w:type="band2Horz"/>
    <w:tblStylePr w:type="neCell"/>
    <w:tblStylePr w:type="nwCell"/>
    <w:tblStylePr w:type="seCell"/>
    <w:tblStylePr w:type="swCell"/>
  </w:style>
  <w:style w:type="table" w:customStyle="1" w:styleId="111">
    <w:name w:val="List Table 4 - Accent 4"/>
    <w:basedOn w:val="21"/>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themeColor="accent4" w:themeTint="40" w:fill="FFEFBE" w:themeFill="accent4" w:themeFillTint="40"/>
      </w:tcPr>
    </w:tblStylePr>
    <w:tblStylePr w:type="band2Vert"/>
    <w:tblStylePr w:type="band1Horz">
      <w:rPr>
        <w:rFonts w:ascii="Arial" w:hAnsi="Arial"/>
        <w:color w:val="404040"/>
        <w:sz w:val="22"/>
      </w:rPr>
      <w:tcPr>
        <w:shd w:val="clear" w:color="FFEFBE" w:themeColor="accent4" w:themeTint="40" w:fill="FFEFBE" w:themeFill="accent4" w:themeFillTint="40"/>
      </w:tcPr>
    </w:tblStylePr>
    <w:tblStylePr w:type="band2Horz"/>
    <w:tblStylePr w:type="neCell"/>
    <w:tblStylePr w:type="nwCell"/>
    <w:tblStylePr w:type="seCell"/>
    <w:tblStylePr w:type="swCell"/>
  </w:style>
  <w:style w:type="table" w:customStyle="1" w:styleId="112">
    <w:name w:val="List Table 4 - Accent 5"/>
    <w:basedOn w:val="21"/>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themeColor="accent5" w:themeTint="40" w:fill="D0DBF0" w:themeFill="accent5" w:themeFillTint="40"/>
      </w:tcPr>
    </w:tblStylePr>
    <w:tblStylePr w:type="band2Vert"/>
    <w:tblStylePr w:type="band1Horz">
      <w:rPr>
        <w:rFonts w:ascii="Arial" w:hAnsi="Arial"/>
        <w:color w:val="404040"/>
        <w:sz w:val="22"/>
      </w:rPr>
      <w:tcPr>
        <w:shd w:val="clear" w:color="D0DBF0" w:themeColor="accent5" w:themeTint="40" w:fill="D0DBF0" w:themeFill="accent5" w:themeFillTint="40"/>
      </w:tcPr>
    </w:tblStylePr>
    <w:tblStylePr w:type="band2Horz"/>
    <w:tblStylePr w:type="neCell"/>
    <w:tblStylePr w:type="nwCell"/>
    <w:tblStylePr w:type="seCell"/>
    <w:tblStylePr w:type="swCell"/>
  </w:style>
  <w:style w:type="table" w:customStyle="1" w:styleId="113">
    <w:name w:val="List Table 4 - Accent 6"/>
    <w:basedOn w:val="21"/>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themeColor="accent6" w:themeTint="40" w:fill="DAEBCF" w:themeFill="accent6" w:themeFillTint="40"/>
      </w:tcPr>
    </w:tblStylePr>
    <w:tblStylePr w:type="band2Vert"/>
    <w:tblStylePr w:type="band1Horz">
      <w:rPr>
        <w:rFonts w:ascii="Arial" w:hAnsi="Arial"/>
        <w:color w:val="404040"/>
        <w:sz w:val="22"/>
      </w:rPr>
      <w:tcPr>
        <w:shd w:val="clear" w:color="DAEBCF" w:themeColor="accent6" w:themeTint="40" w:fill="DAEBCF" w:themeFill="accent6" w:themeFillTint="40"/>
      </w:tcPr>
    </w:tblStylePr>
    <w:tblStylePr w:type="band2Horz"/>
    <w:tblStylePr w:type="neCell"/>
    <w:tblStylePr w:type="nwCell"/>
    <w:tblStylePr w:type="seCell"/>
    <w:tblStylePr w:type="swCell"/>
  </w:style>
  <w:style w:type="table" w:customStyle="1" w:styleId="114">
    <w:name w:val="List Table 5 Dark"/>
    <w:basedOn w:val="21"/>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15">
    <w:name w:val="List Table 5 Dark - Accent 1"/>
    <w:basedOn w:val="21"/>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themeColor="accent1" w:fill="5B9BD5"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neCell"/>
    <w:tblStylePr w:type="nwCell"/>
    <w:tblStylePr w:type="seCell"/>
    <w:tblStylePr w:type="swCell"/>
  </w:style>
  <w:style w:type="table" w:customStyle="1" w:styleId="116">
    <w:name w:val="List Table 5 Dark - Accent 2"/>
    <w:basedOn w:val="21"/>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themeColor="accent2" w:themeTint="97"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themeColor="accent2" w:themeTint="97" w:fill="F4B28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band2Horz">
      <w:tcPr>
        <w:tcBorders>
          <w:top w:val="single" w:color="FFFFFF" w:themeColor="light1" w:sz="4" w:space="0"/>
          <w:bottom w:val="single" w:color="FFFFFF" w:themeColor="light1" w:sz="4" w:space="0"/>
        </w:tcBorders>
        <w:shd w:val="clear" w:color="F4B285" w:themeColor="accent2" w:themeTint="97" w:fill="F4B285" w:themeFill="accent2" w:themeFillTint="97"/>
      </w:tcPr>
    </w:tblStylePr>
    <w:tblStylePr w:type="neCell"/>
    <w:tblStylePr w:type="nwCell"/>
    <w:tblStylePr w:type="seCell"/>
    <w:tblStylePr w:type="swCell"/>
  </w:style>
  <w:style w:type="table" w:customStyle="1" w:styleId="117">
    <w:name w:val="List Table 5 Dark - Accent 3"/>
    <w:basedOn w:val="21"/>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neCell"/>
    <w:tblStylePr w:type="nwCell"/>
    <w:tblStylePr w:type="seCell"/>
    <w:tblStylePr w:type="swCell"/>
  </w:style>
  <w:style w:type="table" w:customStyle="1" w:styleId="118">
    <w:name w:val="List Table 5 Dark - Accent 4"/>
    <w:basedOn w:val="21"/>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themeColor="accent4" w:themeTint="9A"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themeColor="accent4" w:themeTint="9A" w:fill="FFD864"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band2Horz">
      <w:tcPr>
        <w:tcBorders>
          <w:top w:val="single" w:color="FFFFFF" w:themeColor="light1" w:sz="4" w:space="0"/>
          <w:bottom w:val="single" w:color="FFFFFF" w:themeColor="light1" w:sz="4" w:space="0"/>
        </w:tcBorders>
        <w:shd w:val="clear" w:color="FFD864" w:themeColor="accent4" w:themeTint="9A" w:fill="FFD864" w:themeFill="accent4" w:themeFillTint="9A"/>
      </w:tcPr>
    </w:tblStylePr>
    <w:tblStylePr w:type="neCell"/>
    <w:tblStylePr w:type="nwCell"/>
    <w:tblStylePr w:type="seCell"/>
    <w:tblStylePr w:type="swCell"/>
  </w:style>
  <w:style w:type="table" w:customStyle="1" w:styleId="119">
    <w:name w:val="List Table 5 Dark - Accent 5"/>
    <w:basedOn w:val="21"/>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themeColor="accent5" w:themeTint="9A" w:fill="8EA9DB"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themeColor="accent5" w:themeTint="9A" w:fill="8EA9DB"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band2Horz">
      <w:tcPr>
        <w:tcBorders>
          <w:top w:val="single" w:color="FFFFFF" w:themeColor="light1" w:sz="4" w:space="0"/>
          <w:bottom w:val="single" w:color="FFFFFF" w:themeColor="light1" w:sz="4" w:space="0"/>
        </w:tcBorders>
        <w:shd w:val="clear" w:color="8EA9DB" w:themeColor="accent5" w:themeTint="9A" w:fill="8EA9DB" w:themeFill="accent5" w:themeFillTint="9A"/>
      </w:tcPr>
    </w:tblStylePr>
    <w:tblStylePr w:type="neCell"/>
    <w:tblStylePr w:type="nwCell"/>
    <w:tblStylePr w:type="seCell"/>
    <w:tblStylePr w:type="swCell"/>
  </w:style>
  <w:style w:type="table" w:customStyle="1" w:styleId="120">
    <w:name w:val="List Table 5 Dark - Accent 6"/>
    <w:basedOn w:val="21"/>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neCell"/>
    <w:tblStylePr w:type="nwCell"/>
    <w:tblStylePr w:type="seCell"/>
    <w:tblStylePr w:type="swCell"/>
  </w:style>
  <w:style w:type="table" w:customStyle="1" w:styleId="121">
    <w:name w:val="List Table 6 Colorful"/>
    <w:basedOn w:val="21"/>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2">
    <w:name w:val="List Table 6 Colorful - Accent 1"/>
    <w:basedOn w:val="21"/>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3">
    <w:name w:val="List Table 6 Colorful - Accent 2"/>
    <w:basedOn w:val="21"/>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4">
    <w:name w:val="List Table 6 Colorful - Accent 3"/>
    <w:basedOn w:val="21"/>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25">
    <w:name w:val="List Table 6 Colorful - Accent 4"/>
    <w:basedOn w:val="21"/>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26">
    <w:name w:val="List Table 6 Colorful - Accent 5"/>
    <w:basedOn w:val="21"/>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27">
    <w:name w:val="List Table 6 Colorful - Accent 6"/>
    <w:basedOn w:val="21"/>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28">
    <w:name w:val="List Table 7 Colorful"/>
    <w:basedOn w:val="21"/>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29">
    <w:name w:val="List Table 7 Colorful - Accent 1"/>
    <w:basedOn w:val="21"/>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themeColor="light1" w:fill="FFFFFF" w:themeFill="light1"/>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themeColor="accent1" w:themeTint="40" w:fill="D5E5F4" w:themeFill="accent1" w:themeFillTint="40"/>
      </w:tcPr>
    </w:tblStylePr>
    <w:tblStylePr w:type="band2Vert"/>
    <w:tblStylePr w:type="band1Horz">
      <w:rPr>
        <w:rFonts w:ascii="Arial" w:hAnsi="Arial"/>
        <w:color w:val="245B8C" w:themeColor="accent1" w:themeShade="94"/>
        <w:sz w:val="22"/>
      </w:rPr>
      <w:tcPr>
        <w:shd w:val="clear" w:color="D5E5F4" w:themeColor="accent1" w:themeTint="40" w:fill="D5E5F4" w:themeFill="accent1" w:themeFillTint="40"/>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0">
    <w:name w:val="List Table 7 Colorful - Accent 2"/>
    <w:basedOn w:val="21"/>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themeColor="light1"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themeColor="accent2" w:themeTint="40" w:fill="FADECB" w:themeFill="accent2" w:themeFillTint="40"/>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themeColor="accent2" w:themeTint="40"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1">
    <w:name w:val="List Table 7 Colorful - Accent 3"/>
    <w:basedOn w:val="21"/>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themeColor="light1"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themeColor="accent3" w:themeTint="40" w:fill="E8E8E8" w:themeFill="accent3" w:themeFillTint="40"/>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themeColor="accent3" w:themeTint="40"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2">
    <w:name w:val="List Table 7 Colorful - Accent 4"/>
    <w:basedOn w:val="21"/>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themeColor="light1"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themeColor="accent4" w:themeTint="40" w:fill="FFEFBE" w:themeFill="accent4" w:themeFillTint="40"/>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themeColor="accent4" w:themeTint="40"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3">
    <w:name w:val="List Table 7 Colorful - Accent 5"/>
    <w:basedOn w:val="21"/>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themeColor="light1" w:fill="FFFFFF" w:themeFill="light1"/>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themeColor="accent5" w:themeTint="40" w:fill="D0DBF0" w:themeFill="accent5" w:themeFillTint="4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themeColor="accent5" w:themeTint="40" w:fill="D0DBF0" w:themeFill="accent5" w:themeFillTint="4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4">
    <w:name w:val="List Table 7 Colorful - Accent 6"/>
    <w:basedOn w:val="21"/>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themeColor="light1"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themeColor="accent6" w:themeTint="40" w:fill="DAEBCF" w:themeFill="accent6" w:themeFillTint="40"/>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themeColor="accent6" w:themeTint="40"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5">
    <w:name w:val="Lined - Accent"/>
    <w:basedOn w:val="21"/>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36">
    <w:name w:val="Lined - Accent 1"/>
    <w:basedOn w:val="21"/>
    <w:qFormat/>
    <w:uiPriority w:val="99"/>
    <w:pPr>
      <w:spacing w:after="0" w:line="240" w:lineRule="auto"/>
    </w:pPr>
    <w:rPr>
      <w:color w:val="404040"/>
    </w:r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37">
    <w:name w:val="Lined - Accent 2"/>
    <w:basedOn w:val="21"/>
    <w:qFormat/>
    <w:uiPriority w:val="99"/>
    <w:pPr>
      <w:spacing w:after="0" w:line="240" w:lineRule="auto"/>
    </w:pPr>
    <w:rPr>
      <w:color w:val="404040"/>
    </w:r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38">
    <w:name w:val="Lined - Accent 3"/>
    <w:basedOn w:val="21"/>
    <w:qFormat/>
    <w:uiPriority w:val="99"/>
    <w:pPr>
      <w:spacing w:after="0" w:line="240" w:lineRule="auto"/>
    </w:pPr>
    <w:rPr>
      <w:color w:val="404040"/>
    </w:r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39">
    <w:name w:val="Lined - Accent 4"/>
    <w:basedOn w:val="21"/>
    <w:qFormat/>
    <w:uiPriority w:val="99"/>
    <w:pPr>
      <w:spacing w:after="0" w:line="240" w:lineRule="auto"/>
    </w:pPr>
    <w:rPr>
      <w:color w:val="404040"/>
    </w:r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0">
    <w:name w:val="Lined - Accent 5"/>
    <w:basedOn w:val="21"/>
    <w:qFormat/>
    <w:uiPriority w:val="99"/>
    <w:pPr>
      <w:spacing w:after="0" w:line="240" w:lineRule="auto"/>
    </w:pPr>
    <w:rPr>
      <w:color w:val="404040"/>
    </w:r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1">
    <w:name w:val="Lined - Accent 6"/>
    <w:basedOn w:val="21"/>
    <w:qFormat/>
    <w:uiPriority w:val="99"/>
    <w:pPr>
      <w:spacing w:after="0" w:line="240" w:lineRule="auto"/>
    </w:pPr>
    <w:rPr>
      <w:color w:val="404040"/>
    </w:r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2">
    <w:name w:val="Bordered &amp; Lined - Accent"/>
    <w:basedOn w:val="21"/>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3">
    <w:name w:val="Bordered &amp; Lined - Accent 1"/>
    <w:basedOn w:val="21"/>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themeColor="accent1" w:themeTint="EA" w:fill="68A3D8" w:themeFill="accent1" w:themeFillTint="EA"/>
      </w:tcPr>
    </w:tblStylePr>
    <w:tblStylePr w:type="lastRow">
      <w:rPr>
        <w:rFonts w:ascii="Arial" w:hAnsi="Arial"/>
        <w:color w:val="F2F2F2"/>
        <w:sz w:val="22"/>
      </w:rPr>
      <w:tcPr>
        <w:shd w:val="clear" w:color="68A3D8" w:themeColor="accent1" w:themeTint="EA" w:fill="68A3D8" w:themeFill="accent1" w:themeFillTint="EA"/>
      </w:tcPr>
    </w:tblStylePr>
    <w:tblStylePr w:type="firstCol">
      <w:rPr>
        <w:rFonts w:ascii="Arial" w:hAnsi="Arial"/>
        <w:color w:val="F2F2F2"/>
        <w:sz w:val="22"/>
      </w:rPr>
      <w:tcPr>
        <w:shd w:val="clear" w:color="68A3D8" w:themeColor="accent1" w:themeTint="EA" w:fill="68A3D8" w:themeFill="accent1" w:themeFillTint="EA"/>
      </w:tcPr>
    </w:tblStylePr>
    <w:tblStylePr w:type="lastCol">
      <w:rPr>
        <w:rFonts w:ascii="Arial" w:hAnsi="Arial"/>
        <w:color w:val="F2F2F2"/>
        <w:sz w:val="22"/>
      </w:rPr>
      <w:tcPr>
        <w:shd w:val="clear" w:color="68A3D8" w:themeColor="accent1" w:themeTint="EA" w:fill="68A3D8"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neCell"/>
    <w:tblStylePr w:type="nwCell"/>
    <w:tblStylePr w:type="seCell"/>
    <w:tblStylePr w:type="swCell"/>
  </w:style>
  <w:style w:type="table" w:customStyle="1" w:styleId="144">
    <w:name w:val="Bordered &amp; Lined - Accent 2"/>
    <w:basedOn w:val="21"/>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themeColor="accent2" w:themeTint="97" w:fill="F4B285" w:themeFill="accent2" w:themeFillTint="97"/>
      </w:tcPr>
    </w:tblStylePr>
    <w:tblStylePr w:type="lastRow">
      <w:rPr>
        <w:rFonts w:ascii="Arial" w:hAnsi="Arial"/>
        <w:color w:val="F2F2F2"/>
        <w:sz w:val="22"/>
      </w:rPr>
      <w:tcPr>
        <w:shd w:val="clear" w:color="F4B285" w:themeColor="accent2" w:themeTint="97" w:fill="F4B285" w:themeFill="accent2" w:themeFillTint="97"/>
      </w:tcPr>
    </w:tblStylePr>
    <w:tblStylePr w:type="firstCol">
      <w:rPr>
        <w:rFonts w:ascii="Arial" w:hAnsi="Arial"/>
        <w:color w:val="F2F2F2"/>
        <w:sz w:val="22"/>
      </w:rPr>
      <w:tcPr>
        <w:shd w:val="clear" w:color="F4B285" w:themeColor="accent2" w:themeTint="97" w:fill="F4B285" w:themeFill="accent2" w:themeFillTint="97"/>
      </w:tcPr>
    </w:tblStylePr>
    <w:tblStylePr w:type="lastCol">
      <w:rPr>
        <w:rFonts w:ascii="Arial" w:hAnsi="Arial"/>
        <w:color w:val="F2F2F2"/>
        <w:sz w:val="22"/>
      </w:rPr>
      <w:tcPr>
        <w:shd w:val="clear" w:color="F4B285" w:themeColor="accent2" w:themeTint="97" w:fill="F4B28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neCell"/>
    <w:tblStylePr w:type="nwCell"/>
    <w:tblStylePr w:type="seCell"/>
    <w:tblStylePr w:type="swCell"/>
  </w:style>
  <w:style w:type="table" w:customStyle="1" w:styleId="145">
    <w:name w:val="Bordered &amp; Lined - Accent 3"/>
    <w:basedOn w:val="21"/>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tblStylePr w:type="firstCol">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neCell"/>
    <w:tblStylePr w:type="nwCell"/>
    <w:tblStylePr w:type="seCell"/>
    <w:tblStylePr w:type="swCell"/>
  </w:style>
  <w:style w:type="table" w:customStyle="1" w:styleId="146">
    <w:name w:val="Bordered &amp; Lined - Accent 4"/>
    <w:basedOn w:val="21"/>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themeColor="accent4" w:themeTint="9A" w:fill="FFD864" w:themeFill="accent4" w:themeFillTint="9A"/>
      </w:tcPr>
    </w:tblStylePr>
    <w:tblStylePr w:type="lastRow">
      <w:rPr>
        <w:rFonts w:ascii="Arial" w:hAnsi="Arial"/>
        <w:color w:val="F2F2F2"/>
        <w:sz w:val="22"/>
      </w:rPr>
      <w:tcPr>
        <w:shd w:val="clear" w:color="FFD864" w:themeColor="accent4" w:themeTint="9A" w:fill="FFD864" w:themeFill="accent4" w:themeFillTint="9A"/>
      </w:tcPr>
    </w:tblStylePr>
    <w:tblStylePr w:type="firstCol">
      <w:rPr>
        <w:rFonts w:ascii="Arial" w:hAnsi="Arial"/>
        <w:color w:val="F2F2F2"/>
        <w:sz w:val="22"/>
      </w:rPr>
      <w:tcPr>
        <w:shd w:val="clear" w:color="FFD864" w:themeColor="accent4" w:themeTint="9A" w:fill="FFD864" w:themeFill="accent4" w:themeFillTint="9A"/>
      </w:tcPr>
    </w:tblStylePr>
    <w:tblStylePr w:type="lastCol">
      <w:rPr>
        <w:rFonts w:ascii="Arial" w:hAnsi="Arial"/>
        <w:color w:val="F2F2F2"/>
        <w:sz w:val="22"/>
      </w:rPr>
      <w:tcPr>
        <w:shd w:val="clear" w:color="FFD864" w:themeColor="accent4" w:themeTint="9A" w:fill="FFD864"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FEF2CA" w:themeColor="accent4" w:themeTint="34" w:fill="FEF2CA"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FEF2CA" w:themeColor="accent4" w:themeTint="34" w:fill="FEF2CA" w:themeFill="accent4" w:themeFillTint="34"/>
      </w:tcPr>
    </w:tblStylePr>
    <w:tblStylePr w:type="neCell"/>
    <w:tblStylePr w:type="nwCell"/>
    <w:tblStylePr w:type="seCell"/>
    <w:tblStylePr w:type="swCell"/>
  </w:style>
  <w:style w:type="table" w:customStyle="1" w:styleId="147">
    <w:name w:val="Bordered &amp; Lined - Accent 5"/>
    <w:basedOn w:val="21"/>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tblStylePr w:type="firstCol">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cPr>
        <w:shd w:val="clear" w:color="D8E2F2" w:themeColor="accent5" w:themeTint="34" w:fill="D8E2F2"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8E2F2" w:themeColor="accent5" w:themeTint="34" w:fill="D8E2F2" w:themeFill="accent5" w:themeFillTint="34"/>
      </w:tcPr>
    </w:tblStylePr>
    <w:tblStylePr w:type="neCell"/>
    <w:tblStylePr w:type="nwCell"/>
    <w:tblStylePr w:type="seCell"/>
    <w:tblStylePr w:type="swCell"/>
  </w:style>
  <w:style w:type="table" w:customStyle="1" w:styleId="148">
    <w:name w:val="Bordered &amp; Lined - Accent 6"/>
    <w:basedOn w:val="21"/>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tblStylePr w:type="firstCol">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neCell"/>
    <w:tblStylePr w:type="nwCell"/>
    <w:tblStylePr w:type="seCell"/>
    <w:tblStylePr w:type="swCell"/>
  </w:style>
  <w:style w:type="table" w:customStyle="1" w:styleId="149">
    <w:name w:val="Bordered"/>
    <w:basedOn w:val="21"/>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0">
    <w:name w:val="Bordered - Accent 1"/>
    <w:basedOn w:val="21"/>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1">
    <w:name w:val="Bordered - Accent 2"/>
    <w:basedOn w:val="21"/>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2">
    <w:name w:val="Bordered - Accent 3"/>
    <w:basedOn w:val="21"/>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3">
    <w:name w:val="Bordered - Accent 4"/>
    <w:basedOn w:val="21"/>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4">
    <w:name w:val="Bordered - Accent 5"/>
    <w:basedOn w:val="21"/>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55">
    <w:name w:val="Bordered - Accent 6"/>
    <w:basedOn w:val="21"/>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56">
    <w:name w:val="Heading 1 Char"/>
    <w:basedOn w:val="23"/>
    <w:link w:val="2"/>
    <w:qFormat/>
    <w:uiPriority w:val="9"/>
    <w:rPr>
      <w:rFonts w:ascii="Arial" w:hAnsi="Arial" w:eastAsia="Arial" w:cs="Arial"/>
      <w:color w:val="2E75B6" w:themeColor="accent1" w:themeShade="BF"/>
      <w:sz w:val="40"/>
      <w:szCs w:val="40"/>
    </w:rPr>
  </w:style>
  <w:style w:type="character" w:customStyle="1" w:styleId="157">
    <w:name w:val="Heading 2 Char"/>
    <w:basedOn w:val="23"/>
    <w:link w:val="3"/>
    <w:qFormat/>
    <w:uiPriority w:val="9"/>
    <w:rPr>
      <w:rFonts w:ascii="Arial" w:hAnsi="Arial" w:eastAsia="Arial" w:cs="Arial"/>
      <w:color w:val="2E75B6" w:themeColor="accent1" w:themeShade="BF"/>
      <w:sz w:val="32"/>
      <w:szCs w:val="32"/>
    </w:rPr>
  </w:style>
  <w:style w:type="character" w:customStyle="1" w:styleId="158">
    <w:name w:val="Heading 3 Char"/>
    <w:basedOn w:val="23"/>
    <w:link w:val="4"/>
    <w:qFormat/>
    <w:uiPriority w:val="9"/>
    <w:rPr>
      <w:rFonts w:ascii="Arial" w:hAnsi="Arial" w:eastAsia="Arial" w:cs="Arial"/>
      <w:color w:val="2E75B6" w:themeColor="accent1" w:themeShade="BF"/>
      <w:sz w:val="28"/>
      <w:szCs w:val="28"/>
    </w:rPr>
  </w:style>
  <w:style w:type="character" w:customStyle="1" w:styleId="159">
    <w:name w:val="Heading 4 Char"/>
    <w:basedOn w:val="23"/>
    <w:link w:val="5"/>
    <w:qFormat/>
    <w:uiPriority w:val="9"/>
    <w:rPr>
      <w:rFonts w:ascii="Arial" w:hAnsi="Arial" w:eastAsia="Arial" w:cs="Arial"/>
      <w:i/>
      <w:iCs/>
      <w:color w:val="2E75B6" w:themeColor="accent1" w:themeShade="BF"/>
    </w:rPr>
  </w:style>
  <w:style w:type="character" w:customStyle="1" w:styleId="160">
    <w:name w:val="Heading 5 Char"/>
    <w:basedOn w:val="23"/>
    <w:link w:val="6"/>
    <w:qFormat/>
    <w:uiPriority w:val="9"/>
    <w:rPr>
      <w:rFonts w:ascii="Arial" w:hAnsi="Arial" w:eastAsia="Arial" w:cs="Arial"/>
      <w:color w:val="2E75B6" w:themeColor="accent1" w:themeShade="BF"/>
    </w:rPr>
  </w:style>
  <w:style w:type="character" w:customStyle="1" w:styleId="161">
    <w:name w:val="Heading 6 Char"/>
    <w:basedOn w:val="23"/>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2">
    <w:name w:val="Heading 7 Char"/>
    <w:basedOn w:val="23"/>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3">
    <w:name w:val="Heading 8 Char"/>
    <w:basedOn w:val="23"/>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4">
    <w:name w:val="Heading 9 Char"/>
    <w:basedOn w:val="23"/>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5">
    <w:name w:val="Title Char"/>
    <w:basedOn w:val="23"/>
    <w:link w:val="20"/>
    <w:qFormat/>
    <w:uiPriority w:val="10"/>
    <w:rPr>
      <w:rFonts w:ascii="Arial" w:hAnsi="Arial" w:eastAsia="Arial" w:cs="Arial"/>
      <w:spacing w:val="-10"/>
      <w:sz w:val="56"/>
      <w:szCs w:val="56"/>
    </w:rPr>
  </w:style>
  <w:style w:type="character" w:customStyle="1" w:styleId="166">
    <w:name w:val="Subtitle Char"/>
    <w:basedOn w:val="23"/>
    <w:link w:val="17"/>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67">
    <w:name w:val="Quote"/>
    <w:basedOn w:val="1"/>
    <w:next w:val="1"/>
    <w:link w:val="16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68">
    <w:name w:val="Quote Char"/>
    <w:basedOn w:val="23"/>
    <w:link w:val="167"/>
    <w:qFormat/>
    <w:uiPriority w:val="29"/>
    <w:rPr>
      <w:i/>
      <w:iCs/>
      <w:color w:val="404040" w:themeColor="text1" w:themeTint="BF"/>
      <w14:textFill>
        <w14:solidFill>
          <w14:schemeClr w14:val="tx1">
            <w14:lumMod w14:val="75000"/>
            <w14:lumOff w14:val="25000"/>
          </w14:schemeClr>
        </w14:solidFill>
      </w14:textFill>
    </w:rPr>
  </w:style>
  <w:style w:type="paragraph" w:styleId="169">
    <w:name w:val="List Paragraph"/>
    <w:basedOn w:val="1"/>
    <w:qFormat/>
    <w:uiPriority w:val="34"/>
    <w:pPr>
      <w:ind w:left="720"/>
      <w:contextualSpacing/>
    </w:pPr>
  </w:style>
  <w:style w:type="character" w:customStyle="1" w:styleId="170">
    <w:name w:val="Intense Emphasis"/>
    <w:basedOn w:val="23"/>
    <w:qFormat/>
    <w:uiPriority w:val="21"/>
    <w:rPr>
      <w:i/>
      <w:iCs/>
      <w:color w:val="2E75B6" w:themeColor="accent1" w:themeShade="BF"/>
    </w:rPr>
  </w:style>
  <w:style w:type="paragraph" w:styleId="171">
    <w:name w:val="Intense Quote"/>
    <w:basedOn w:val="1"/>
    <w:next w:val="1"/>
    <w:link w:val="172"/>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2">
    <w:name w:val="Intense Quote Char"/>
    <w:basedOn w:val="23"/>
    <w:link w:val="171"/>
    <w:qFormat/>
    <w:uiPriority w:val="30"/>
    <w:rPr>
      <w:i/>
      <w:iCs/>
      <w:color w:val="2E75B6" w:themeColor="accent1" w:themeShade="BF"/>
    </w:rPr>
  </w:style>
  <w:style w:type="character" w:customStyle="1" w:styleId="173">
    <w:name w:val="Intense Reference"/>
    <w:basedOn w:val="23"/>
    <w:qFormat/>
    <w:uiPriority w:val="32"/>
    <w:rPr>
      <w:b/>
      <w:bCs/>
      <w:smallCaps/>
      <w:color w:val="2E75B6" w:themeColor="accent1" w:themeShade="BF"/>
      <w:spacing w:val="5"/>
    </w:rPr>
  </w:style>
  <w:style w:type="paragraph" w:styleId="174">
    <w:name w:val="No Spacing"/>
    <w:basedOn w:val="1"/>
    <w:qFormat/>
    <w:uiPriority w:val="1"/>
    <w:pPr>
      <w:spacing w:after="0" w:line="240" w:lineRule="auto"/>
    </w:pPr>
  </w:style>
  <w:style w:type="character" w:customStyle="1" w:styleId="175">
    <w:name w:val="Subtle Emphasis"/>
    <w:basedOn w:val="23"/>
    <w:qFormat/>
    <w:uiPriority w:val="19"/>
    <w:rPr>
      <w:i/>
      <w:iCs/>
      <w:color w:val="404040" w:themeColor="text1" w:themeTint="BF"/>
      <w14:textFill>
        <w14:solidFill>
          <w14:schemeClr w14:val="tx1">
            <w14:lumMod w14:val="75000"/>
            <w14:lumOff w14:val="25000"/>
          </w14:schemeClr>
        </w14:solidFill>
      </w14:textFill>
    </w:rPr>
  </w:style>
  <w:style w:type="character" w:customStyle="1" w:styleId="176">
    <w:name w:val="Subtle Reference"/>
    <w:basedOn w:val="2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77">
    <w:name w:val="Book Title"/>
    <w:basedOn w:val="23"/>
    <w:qFormat/>
    <w:uiPriority w:val="33"/>
    <w:rPr>
      <w:b/>
      <w:bCs/>
      <w:i/>
      <w:iCs/>
      <w:spacing w:val="5"/>
    </w:rPr>
  </w:style>
  <w:style w:type="character" w:customStyle="1" w:styleId="178">
    <w:name w:val="Header Char"/>
    <w:basedOn w:val="23"/>
    <w:link w:val="16"/>
    <w:qFormat/>
    <w:uiPriority w:val="99"/>
  </w:style>
  <w:style w:type="character" w:customStyle="1" w:styleId="179">
    <w:name w:val="Footer Char"/>
    <w:basedOn w:val="23"/>
    <w:link w:val="15"/>
    <w:qFormat/>
    <w:uiPriority w:val="99"/>
  </w:style>
  <w:style w:type="character" w:customStyle="1" w:styleId="180">
    <w:name w:val="Footnote Text Char"/>
    <w:basedOn w:val="23"/>
    <w:link w:val="18"/>
    <w:semiHidden/>
    <w:qFormat/>
    <w:uiPriority w:val="99"/>
    <w:rPr>
      <w:sz w:val="20"/>
      <w:szCs w:val="20"/>
    </w:rPr>
  </w:style>
  <w:style w:type="character" w:customStyle="1" w:styleId="181">
    <w:name w:val="Endnote Text Char"/>
    <w:basedOn w:val="23"/>
    <w:link w:val="14"/>
    <w:semiHidden/>
    <w:qFormat/>
    <w:uiPriority w:val="99"/>
    <w:rPr>
      <w:sz w:val="20"/>
      <w:szCs w:val="20"/>
    </w:rPr>
  </w:style>
  <w:style w:type="paragraph" w:customStyle="1" w:styleId="182">
    <w:name w:val="TOC Heading"/>
    <w:unhideWhenUsed/>
    <w:qFormat/>
    <w:uiPriority w:val="39"/>
    <w:rPr>
      <w:rFonts w:hint="default" w:ascii="Times New Roman" w:hAnsi="Times New Roman" w:eastAsia="宋体" w:cs="Times New Roman"/>
    </w:rPr>
  </w:style>
  <w:style w:type="paragraph" w:customStyle="1" w:styleId="183">
    <w:name w:val="Default"/>
    <w:qFormat/>
    <w:uiPriority w:val="0"/>
    <w:pPr>
      <w:widowControl w:val="0"/>
    </w:pPr>
    <w:rPr>
      <w:rFonts w:hint="default"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4</TotalTime>
  <ScaleCrop>false</ScaleCrop>
  <LinksUpToDate>false</LinksUpToDate>
  <Application>WPS Office_11.8.2.12089_F1E327BC-269C-435d-A152-05C5408002CA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2025-08-20T10:30:00Z</dcterms:created>
  <dc:creator>hxlcliuyu01</dc:creator>
  <cp:lastModifiedBy>马宁</cp:lastModifiedBy>
  <dcterms:modified xsi:type="dcterms:W3CDTF">2026-02-12T01:15:46Z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2052-11.8.2.12089</vt:lpwstr>
  </property>
  <property fmtid="{D5CDD505-2E9C-101B-9397-08002B2CF9AE}" pid="3" name="ICV">
    <vt:lpwstr>22B220A577DB4B46B09269FCB7726688</vt:lpwstr>
  </property>
</Properties>
</file>