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w15="http://schemas.microsoft.com/office/word/2012/wordml" mc:Ignorable="w14 wp14">
  <w:body>
    <w:p>
      <w:pPr>
        <w:pStyle w:val="13"/>
        <w:keepNext w:val="0"/>
        <w:keepLines w:val="0"/>
        <w:pageBreakBefore w:val="0"/>
        <w:widowControl/>
        <w:bidi w:val="0"/>
        <w:spacing w:line="400" w:lineRule="exact"/>
        <w:ind w:firstLine="0"/>
        <w:jc w:val="center"/>
        <w:rPr>
          <w:rFonts w:hint="eastAsia" w:ascii="黑体" w:hAnsi="黑体" w:eastAsia="黑体" w:cs="黑体"/>
          <w:bCs/>
          <w:sz w:val="36"/>
          <w:szCs w:val="36"/>
          <w:highlight w:val="none"/>
        </w:rPr>
      </w:pPr>
      <w:r>
        <w:rPr>
          <w:rFonts w:hint="eastAsia" w:ascii="黑体" w:hAnsi="黑体" w:eastAsia="黑体" w:cs="黑体"/>
          <w:bCs/>
          <w:sz w:val="36"/>
          <w:szCs w:val="36"/>
          <w:highlight w:val="none"/>
        </w:rPr>
        <w:t>华夏理财固定收益纯债型封闭式理财产品351号</w:t>
      </w:r>
    </w:p>
    <w:p>
      <w:pPr>
        <w:pStyle w:val="13"/>
        <w:keepNext w:val="0"/>
        <w:keepLines w:val="0"/>
        <w:pageBreakBefore w:val="0"/>
        <w:widowControl/>
        <w:bidi w:val="0"/>
        <w:spacing w:line="400" w:lineRule="exact"/>
        <w:ind w:firstLine="0"/>
        <w:jc w:val="center"/>
        <w:rPr>
          <w:rFonts w:hint="eastAsia" w:ascii="黑体" w:hAnsi="黑体" w:eastAsia="黑体" w:cs="黑体"/>
          <w:bCs/>
          <w:sz w:val="36"/>
          <w:szCs w:val="36"/>
          <w:highlight w:val="none"/>
        </w:rPr>
      </w:pPr>
      <w:r>
        <w:rPr>
          <w:rFonts w:hint="eastAsia" w:ascii="黑体" w:hAnsi="黑体" w:eastAsia="黑体" w:cs="黑体"/>
          <w:bCs/>
          <w:sz w:val="36"/>
          <w:szCs w:val="36"/>
          <w:highlight w:val="none"/>
        </w:rPr>
        <w:t>说明书</w:t>
      </w:r>
      <w:bookmarkStart w:id="6" w:name="_GoBack"/>
      <w:bookmarkEnd w:id="6"/>
    </w:p>
    <w:p>
      <w:pPr>
        <w:pStyle w:val="13"/>
        <w:widowControl/>
        <w:adjustRightInd w:val="0"/>
        <w:snapToGrid w:val="0"/>
        <w:spacing w:line="240" w:lineRule="auto"/>
        <w:ind w:firstLine="0"/>
        <w:jc w:val="center"/>
        <w:rPr>
          <w:rFonts w:hint="eastAsia" w:ascii="黑体" w:hAnsi="黑体" w:eastAsia="黑体" w:cs="黑体"/>
          <w:bCs/>
          <w:sz w:val="28"/>
          <w:szCs w:val="28"/>
          <w:highlight w:val="none"/>
          <w:u w:val="none"/>
        </w:rPr>
      </w:pPr>
      <w:r>
        <w:rPr>
          <w:rFonts w:hint="eastAsia" w:ascii="黑体" w:hAnsi="黑体" w:eastAsia="黑体" w:cs="黑体"/>
          <w:b/>
          <w:sz w:val="28"/>
          <w:szCs w:val="28"/>
          <w:highlight w:val="none"/>
        </w:rPr>
        <w:t>登记编码</w:t>
      </w:r>
      <w:r>
        <w:rPr>
          <w:rFonts w:hint="eastAsia" w:ascii="黑体" w:hAnsi="黑体" w:eastAsia="黑体" w:cs="黑体"/>
          <w:b/>
          <w:bCs w:val="0"/>
          <w:sz w:val="28"/>
          <w:szCs w:val="28"/>
          <w:highlight w:val="none"/>
        </w:rPr>
        <w:t>：</w:t>
      </w:r>
      <w:r>
        <w:rPr>
          <w:rFonts w:hint="eastAsia" w:ascii="黑体" w:hAnsi="黑体" w:eastAsia="黑体" w:cs="黑体"/>
          <w:b/>
          <w:bCs w:val="0"/>
          <w:sz w:val="28"/>
          <w:szCs w:val="28"/>
          <w:highlight w:val="none"/>
          <w:u w:val="none"/>
        </w:rPr>
        <w:t>Z7003926000316</w:t>
      </w:r>
    </w:p>
    <w:tbl>
      <w:tblPr>
        <w:tblStyle w:val="21"/>
        <w:tblW w:w="907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113" w:type="dxa"/>
          <w:left w:w="340" w:type="dxa"/>
          <w:bottom w:w="113" w:type="dxa"/>
          <w:right w:w="340" w:type="dxa"/>
        </w:tblCellMar>
      </w:tblPr>
      <w:tblGrid>
        <w:gridCol w:w="907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113" w:type="dxa"/>
            <w:left w:w="340" w:type="dxa"/>
            <w:bottom w:w="113" w:type="dxa"/>
            <w:right w:w="340" w:type="dxa"/>
          </w:tblCellMar>
        </w:tblPrEx>
        <w:trPr>
          <w:trHeight w:val="0" w:hRule="atLeast"/>
          <w:jc w:val="center"/>
        </w:trPr>
        <w:tc>
          <w:tcPr>
            <w:tcW w:w="9071" w:type="dxa"/>
            <w:tcBorders>
              <w:top w:val="single" w:color="auto" w:sz="4" w:space="0"/>
              <w:left w:val="single" w:color="auto" w:sz="4" w:space="0"/>
              <w:right w:val="single" w:color="auto" w:sz="4" w:space="0"/>
            </w:tcBorders>
            <w:noWrap w:val="0"/>
            <w:vAlign w:val="center"/>
          </w:tcPr>
          <w:p>
            <w:pPr>
              <w:keepNext w:val="0"/>
              <w:keepLines w:val="0"/>
              <w:pageBreakBefore w:val="0"/>
              <w:widowControl w:val="0"/>
              <w:bidi w:val="0"/>
              <w:spacing w:line="400" w:lineRule="exact"/>
              <w:ind w:left="0" w:right="0"/>
              <w:rPr>
                <w:rFonts w:hint="eastAsia" w:ascii="黑体" w:hAnsi="黑体" w:eastAsia="黑体"/>
                <w:b/>
                <w:sz w:val="28"/>
                <w:szCs w:val="28"/>
                <w:highlight w:val="none"/>
                <w:u w:val="single"/>
              </w:rPr>
            </w:pPr>
            <w:r>
              <w:rPr>
                <w:rFonts w:hint="eastAsia" w:ascii="黑体" w:hAnsi="黑体" w:eastAsia="黑体"/>
                <w:b/>
                <w:sz w:val="28"/>
                <w:szCs w:val="28"/>
                <w:highlight w:val="none"/>
                <w:u w:val="single"/>
              </w:rPr>
              <w:t>一、理财非存款，产品有风险，投资须谨慎。</w:t>
            </w:r>
          </w:p>
          <w:p>
            <w:pPr>
              <w:keepNext w:val="0"/>
              <w:keepLines w:val="0"/>
              <w:pageBreakBefore w:val="0"/>
              <w:widowControl w:val="0"/>
              <w:bidi w:val="0"/>
              <w:spacing w:line="400" w:lineRule="exact"/>
              <w:ind w:left="0" w:right="0"/>
              <w:rPr>
                <w:rFonts w:hint="eastAsia" w:ascii="黑体" w:hAnsi="黑体" w:eastAsia="黑体"/>
                <w:b/>
                <w:sz w:val="28"/>
                <w:szCs w:val="28"/>
                <w:highlight w:val="none"/>
                <w:u w:val="single"/>
              </w:rPr>
            </w:pPr>
            <w:r>
              <w:rPr>
                <w:rFonts w:hint="eastAsia" w:ascii="黑体" w:hAnsi="黑体" w:eastAsia="黑体"/>
                <w:b/>
                <w:sz w:val="28"/>
                <w:szCs w:val="28"/>
                <w:highlight w:val="none"/>
                <w:u w:val="single"/>
              </w:rPr>
              <w:t>二、本理财产品为非保本浮动收益净值型理财产品，华夏理财有限责任公司（以下简称“华夏理财”）不保证理财产品本金及理财收益。在本理财产品存续期间，除本产品说明书约定的特殊情况外，投资者不能申购、赎回本理财产品。投资者投资本理财产品所面临的风险包括本金及理财收益风险、信用风险、市场风险、流动性风险、投资风险、汇率风险、法律及政策风险、理财产品不成立风险、提前终止风险、延期风险、信息传递风险、关联关系风险、拟投资市场及资产风险、流动性应对措施及对投资者的潜在影响、其他风险和本产品特有风险等，请详细阅读本产品说明书第八部分风险揭示内容。投资者应在对风险有充分认识基础上基于自身的独立判断谨慎投资。</w:t>
            </w:r>
          </w:p>
          <w:p>
            <w:pPr>
              <w:keepNext w:val="0"/>
              <w:keepLines w:val="0"/>
              <w:pageBreakBefore w:val="0"/>
              <w:widowControl w:val="0"/>
              <w:bidi w:val="0"/>
              <w:spacing w:line="400" w:lineRule="exact"/>
              <w:ind w:left="0" w:right="0"/>
              <w:rPr>
                <w:rFonts w:hint="eastAsia" w:ascii="黑体" w:hAnsi="黑体" w:eastAsia="黑体"/>
                <w:b/>
                <w:sz w:val="28"/>
                <w:szCs w:val="28"/>
                <w:highlight w:val="none"/>
                <w:u w:val="single"/>
              </w:rPr>
            </w:pPr>
            <w:r>
              <w:rPr>
                <w:rFonts w:hint="eastAsia" w:ascii="黑体" w:hAnsi="黑体" w:eastAsia="黑体"/>
                <w:b/>
                <w:sz w:val="28"/>
                <w:szCs w:val="28"/>
                <w:highlight w:val="none"/>
                <w:u w:val="single"/>
              </w:rPr>
              <w:t>三、华夏理财郑重提示：</w:t>
            </w:r>
            <w:r>
              <w:rPr>
                <w:rFonts w:ascii="黑体" w:hAnsi="黑体" w:eastAsia="黑体"/>
                <w:b/>
                <w:sz w:val="28"/>
                <w:szCs w:val="28"/>
                <w:highlight w:val="none"/>
                <w:u w:val="single"/>
              </w:rPr>
              <w:t>在购买理财产品前，投资者应</w:t>
            </w:r>
            <w:r>
              <w:rPr>
                <w:rFonts w:hint="eastAsia" w:ascii="黑体" w:hAnsi="黑体" w:eastAsia="黑体"/>
                <w:b/>
                <w:sz w:val="28"/>
                <w:szCs w:val="28"/>
                <w:highlight w:val="none"/>
                <w:u w:val="single"/>
              </w:rPr>
              <w:t>仔细阅读本说明书，</w:t>
            </w:r>
            <w:r>
              <w:rPr>
                <w:rFonts w:ascii="黑体" w:hAnsi="黑体" w:eastAsia="黑体"/>
                <w:b/>
                <w:sz w:val="28"/>
                <w:szCs w:val="28"/>
                <w:highlight w:val="none"/>
                <w:u w:val="single"/>
              </w:rPr>
              <w:t>确保自己完全明白</w:t>
            </w:r>
            <w:r>
              <w:rPr>
                <w:rFonts w:hint="eastAsia" w:ascii="黑体" w:hAnsi="黑体" w:eastAsia="黑体"/>
                <w:b/>
                <w:sz w:val="28"/>
                <w:szCs w:val="28"/>
                <w:highlight w:val="none"/>
                <w:u w:val="single"/>
              </w:rPr>
              <w:t>本</w:t>
            </w:r>
            <w:r>
              <w:rPr>
                <w:rFonts w:ascii="黑体" w:hAnsi="黑体" w:eastAsia="黑体"/>
                <w:b/>
                <w:sz w:val="28"/>
                <w:szCs w:val="28"/>
                <w:highlight w:val="none"/>
                <w:u w:val="single"/>
              </w:rPr>
              <w:t>项投资的性质和所涉及的风险，详细了解和审慎评估</w:t>
            </w:r>
            <w:r>
              <w:rPr>
                <w:rFonts w:hint="eastAsia" w:ascii="黑体" w:hAnsi="黑体" w:eastAsia="黑体"/>
                <w:b/>
                <w:sz w:val="28"/>
                <w:szCs w:val="28"/>
                <w:highlight w:val="none"/>
                <w:u w:val="single"/>
              </w:rPr>
              <w:t>本</w:t>
            </w:r>
            <w:r>
              <w:rPr>
                <w:rFonts w:ascii="黑体" w:hAnsi="黑体" w:eastAsia="黑体"/>
                <w:b/>
                <w:sz w:val="28"/>
                <w:szCs w:val="28"/>
                <w:highlight w:val="none"/>
                <w:u w:val="single"/>
              </w:rPr>
              <w:t>理财产品的资金投资方向、风险类型等基本情况，在慎重考虑后自行决定购买与自身风险承受能力和资产管理需求匹配的理财产品</w:t>
            </w:r>
            <w:r>
              <w:rPr>
                <w:rFonts w:hint="eastAsia" w:ascii="黑体" w:hAnsi="黑体" w:eastAsia="黑体"/>
                <w:b/>
                <w:sz w:val="28"/>
                <w:szCs w:val="28"/>
                <w:highlight w:val="none"/>
                <w:u w:val="single"/>
              </w:rPr>
              <w:t>。本理财产品的业绩比较基准（如有）不是预期收益率，不代表产品的未来表现和实际收益，不构成管理人对产品收益的承诺，投资者所能获得的最终收益以管理人根据本理财产品的投资运作情况实际支付给投资者的收益为准。</w:t>
            </w:r>
          </w:p>
          <w:p>
            <w:pPr>
              <w:keepNext w:val="0"/>
              <w:keepLines w:val="0"/>
              <w:pageBreakBefore w:val="0"/>
              <w:widowControl w:val="0"/>
              <w:kinsoku/>
              <w:wordWrap w:val="0"/>
              <w:overflowPunct/>
              <w:topLinePunct w:val="0"/>
              <w:autoSpaceDE/>
              <w:autoSpaceDN/>
              <w:bidi w:val="0"/>
              <w:adjustRightInd/>
              <w:snapToGrid/>
              <w:spacing w:line="400" w:lineRule="exact"/>
              <w:ind w:left="0" w:right="0"/>
              <w:textAlignment w:val="auto"/>
              <w:rPr>
                <w:rFonts w:hint="eastAsia" w:ascii="黑体" w:hAnsi="黑体" w:eastAsia="黑体"/>
                <w:b/>
                <w:sz w:val="28"/>
                <w:szCs w:val="28"/>
                <w:highlight w:val="none"/>
                <w:u w:val="single"/>
              </w:rPr>
            </w:pPr>
            <w:r>
              <w:rPr>
                <w:rFonts w:hint="eastAsia" w:ascii="黑体" w:hAnsi="黑体" w:eastAsia="黑体"/>
                <w:b/>
                <w:sz w:val="28"/>
                <w:szCs w:val="28"/>
                <w:highlight w:val="none"/>
                <w:u w:val="single"/>
              </w:rPr>
              <w:t>四、投资者可以依据本理财产品登记编码在中国理财网（www.chinawealth.com.cn）查询产品信息。本理财产品的</w:t>
            </w:r>
            <w:r>
              <w:rPr>
                <w:rFonts w:ascii="黑体" w:hAnsi="黑体" w:eastAsia="黑体"/>
                <w:b/>
                <w:sz w:val="28"/>
                <w:szCs w:val="28"/>
                <w:highlight w:val="none"/>
                <w:u w:val="single"/>
              </w:rPr>
              <w:t>信息披露将通过</w:t>
            </w:r>
            <w:r>
              <w:rPr>
                <w:rFonts w:hint="eastAsia" w:ascii="黑体" w:hAnsi="黑体" w:eastAsia="黑体"/>
                <w:b/>
                <w:sz w:val="28"/>
                <w:szCs w:val="28"/>
                <w:highlight w:val="none"/>
                <w:u w:val="single"/>
              </w:rPr>
              <w:t>华夏理财有限责任公司官方网站（www.hxwm.com.cn）</w:t>
            </w:r>
            <w:r>
              <w:rPr>
                <w:rFonts w:hint="eastAsia" w:ascii="黑体" w:hAnsi="黑体" w:eastAsia="黑体" w:cs="Times New Roman"/>
                <w:b/>
                <w:sz w:val="28"/>
                <w:szCs w:val="28"/>
                <w:highlight w:val="none"/>
                <w:u w:val="single"/>
                <w:lang w:val="en-US" w:eastAsia="zh-CN"/>
              </w:rPr>
              <w:t>或</w:t>
            </w:r>
            <w:r>
              <w:rPr>
                <w:rFonts w:hint="eastAsia" w:ascii="黑体" w:hAnsi="黑体" w:eastAsia="黑体"/>
                <w:b/>
                <w:sz w:val="28"/>
                <w:szCs w:val="28"/>
                <w:highlight w:val="none"/>
                <w:u w:val="single"/>
              </w:rPr>
              <w:t>代理销售机构（如有）信息披露渠道进行公告</w:t>
            </w:r>
            <w:r>
              <w:rPr>
                <w:rFonts w:ascii="黑体" w:hAnsi="黑体" w:eastAsia="黑体"/>
                <w:b/>
                <w:sz w:val="28"/>
                <w:szCs w:val="28"/>
                <w:highlight w:val="none"/>
                <w:u w:val="single"/>
              </w:rPr>
              <w:t>。</w:t>
            </w:r>
            <w:r>
              <w:rPr>
                <w:rFonts w:hint="eastAsia" w:ascii="黑体" w:hAnsi="黑体" w:eastAsia="黑体"/>
                <w:b/>
                <w:sz w:val="28"/>
                <w:szCs w:val="28"/>
                <w:highlight w:val="none"/>
                <w:u w:val="single"/>
              </w:rPr>
              <w:t>投资者在购买理财产品后，应随时关注本理财产品的信息披露情况，及时获取相关信息。</w:t>
            </w:r>
            <w:r>
              <w:rPr>
                <w:rFonts w:ascii="黑体" w:hAnsi="黑体" w:eastAsia="黑体"/>
                <w:b/>
                <w:sz w:val="28"/>
                <w:szCs w:val="28"/>
                <w:highlight w:val="none"/>
                <w:u w:val="single"/>
              </w:rPr>
              <w:t>如果投资者未及时查询</w:t>
            </w:r>
            <w:r>
              <w:rPr>
                <w:rFonts w:hint="eastAsia" w:ascii="黑体" w:hAnsi="黑体" w:eastAsia="黑体"/>
                <w:b/>
                <w:sz w:val="28"/>
                <w:szCs w:val="28"/>
                <w:highlight w:val="none"/>
                <w:u w:val="single"/>
              </w:rPr>
              <w:t>而未能</w:t>
            </w:r>
            <w:r>
              <w:rPr>
                <w:rFonts w:ascii="黑体" w:hAnsi="黑体" w:eastAsia="黑体"/>
                <w:b/>
                <w:sz w:val="28"/>
                <w:szCs w:val="28"/>
                <w:highlight w:val="none"/>
                <w:u w:val="single"/>
              </w:rPr>
              <w:t>及时了解</w:t>
            </w:r>
            <w:r>
              <w:rPr>
                <w:rFonts w:hint="eastAsia" w:ascii="黑体" w:hAnsi="黑体" w:eastAsia="黑体"/>
                <w:b/>
                <w:sz w:val="28"/>
                <w:szCs w:val="28"/>
                <w:highlight w:val="none"/>
                <w:u w:val="single"/>
              </w:rPr>
              <w:t>本理财产品</w:t>
            </w:r>
            <w:r>
              <w:rPr>
                <w:rFonts w:ascii="黑体" w:hAnsi="黑体" w:eastAsia="黑体"/>
                <w:b/>
                <w:sz w:val="28"/>
                <w:szCs w:val="28"/>
                <w:highlight w:val="none"/>
                <w:u w:val="single"/>
              </w:rPr>
              <w:t>信息，因此产生的责任和风险由投资者承担。</w:t>
            </w:r>
            <w:r>
              <w:rPr>
                <w:rFonts w:hint="eastAsia" w:ascii="黑体" w:hAnsi="黑体" w:eastAsia="黑体"/>
                <w:b/>
                <w:sz w:val="28"/>
                <w:szCs w:val="28"/>
                <w:highlight w:val="none"/>
                <w:u w:val="single"/>
              </w:rPr>
              <w:t>投资者如需进行业务咨询或投诉，请拨打</w:t>
            </w:r>
            <w:bookmarkStart w:id="0" w:name="_Hlk76301410"/>
            <w:r>
              <w:rPr>
                <w:rFonts w:hint="eastAsia" w:ascii="黑体" w:hAnsi="黑体" w:eastAsia="黑体"/>
                <w:b/>
                <w:sz w:val="28"/>
                <w:szCs w:val="28"/>
                <w:highlight w:val="none"/>
                <w:u w:val="single"/>
              </w:rPr>
              <w:t>华夏理财客户服务热线4001795577或其他代理销售机构客户服务热线</w:t>
            </w:r>
            <w:bookmarkEnd w:id="0"/>
            <w:r>
              <w:rPr>
                <w:rFonts w:hint="eastAsia" w:ascii="黑体" w:hAnsi="黑体" w:eastAsia="黑体"/>
                <w:b/>
                <w:sz w:val="28"/>
                <w:szCs w:val="28"/>
                <w:highlight w:val="none"/>
                <w:u w:val="single"/>
              </w:rPr>
              <w:t>。</w:t>
            </w:r>
          </w:p>
          <w:p>
            <w:pPr>
              <w:keepNext w:val="0"/>
              <w:keepLines w:val="0"/>
              <w:pageBreakBefore w:val="0"/>
              <w:widowControl w:val="0"/>
              <w:bidi w:val="0"/>
              <w:spacing w:line="400" w:lineRule="exact"/>
              <w:ind w:left="0" w:right="0"/>
              <w:rPr>
                <w:rFonts w:hint="eastAsia" w:ascii="黑体" w:hAnsi="黑体" w:eastAsia="黑体"/>
                <w:b/>
                <w:sz w:val="28"/>
                <w:szCs w:val="28"/>
                <w:highlight w:val="none"/>
                <w:u w:val="single"/>
              </w:rPr>
            </w:pPr>
            <w:r>
              <w:rPr>
                <w:rFonts w:hint="eastAsia" w:ascii="黑体" w:hAnsi="黑体" w:eastAsia="黑体"/>
                <w:b/>
                <w:sz w:val="28"/>
                <w:szCs w:val="28"/>
                <w:highlight w:val="none"/>
                <w:u w:val="single"/>
                <w:lang w:val="en-US" w:eastAsia="zh-CN"/>
              </w:rPr>
              <w:t>五</w:t>
            </w:r>
            <w:r>
              <w:rPr>
                <w:rFonts w:hint="eastAsia" w:ascii="黑体" w:hAnsi="黑体" w:eastAsia="黑体"/>
                <w:b/>
                <w:sz w:val="28"/>
                <w:szCs w:val="28"/>
                <w:highlight w:val="none"/>
                <w:u w:val="single"/>
              </w:rPr>
              <w:t>、本说明书在法律许可的范围内由华夏理财方负责解释。</w:t>
            </w:r>
          </w:p>
        </w:tc>
      </w:tr>
    </w:tbl>
    <w:p>
      <w:pPr>
        <w:pStyle w:val="183"/>
        <w:spacing w:after="156" w:line="400" w:lineRule="exact"/>
        <w:jc w:val="both"/>
        <w:rPr>
          <w:rFonts w:ascii="Times New Roman" w:eastAsia="黑体" w:cs="Times New Roman"/>
          <w:b/>
          <w:color w:val="auto"/>
          <w:highlight w:val="none"/>
        </w:rPr>
      </w:pPr>
      <w:r>
        <w:rPr>
          <w:rFonts w:hint="eastAsia" w:ascii="Times New Roman" w:eastAsia="黑体" w:cs="Times New Roman"/>
          <w:b/>
          <w:color w:val="auto"/>
          <w:highlight w:val="none"/>
        </w:rPr>
        <w:t xml:space="preserve">    </w:t>
      </w:r>
    </w:p>
    <w:p>
      <w:pPr>
        <w:pStyle w:val="183"/>
        <w:keepNext/>
        <w:keepLines w:val="0"/>
        <w:pageBreakBefore w:val="0"/>
        <w:widowControl w:val="0"/>
        <w:kinsoku/>
        <w:wordWrap/>
        <w:overflowPunct/>
        <w:topLinePunct w:val="0"/>
        <w:autoSpaceDE/>
        <w:autoSpaceDN/>
        <w:bidi w:val="0"/>
        <w:adjustRightInd/>
        <w:snapToGrid/>
        <w:spacing w:before="0" w:after="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rPr>
        <w:t>一、产品概述</w:t>
      </w:r>
    </w:p>
    <w:tbl>
      <w:tblPr>
        <w:tblStyle w:val="21"/>
        <w:tblW w:w="913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30"/>
        <w:gridCol w:w="740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2"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产品名称</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
                <w:bCs/>
                <w:szCs w:val="21"/>
                <w:highlight w:val="none"/>
                <w:lang w:eastAsia="zh-CN"/>
              </w:rPr>
            </w:pPr>
            <w:r>
              <w:rPr>
                <w:rFonts w:hint="eastAsia" w:ascii="仿宋" w:hAnsi="仿宋" w:eastAsia="仿宋"/>
                <w:b/>
                <w:bCs/>
                <w:sz w:val="21"/>
                <w:szCs w:val="21"/>
                <w:highlight w:val="none"/>
              </w:rPr>
              <w:t>华夏理财固定收益纯债型封闭式理财产品351号</w:t>
            </w:r>
          </w:p>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
                <w:bCs/>
                <w:szCs w:val="21"/>
                <w:highlight w:val="none"/>
              </w:rPr>
            </w:pPr>
            <w:r>
              <w:rPr>
                <w:rFonts w:ascii="仿宋" w:hAnsi="仿宋" w:eastAsia="仿宋"/>
                <w:b/>
                <w:bCs/>
                <w:szCs w:val="21"/>
                <w:highlight w:val="none"/>
              </w:rPr>
              <w:t>A份额简称：“华夏理财固收纯债封闭式351号181天A”</w:t>
            </w:r>
            <w:r>
              <w:rPr>
                <w:rFonts w:ascii="仿宋" w:hAnsi="仿宋" w:eastAsia="仿宋"/>
                <w:b/>
                <w:bCs/>
                <w:szCs w:val="21"/>
                <w:highlight w:val="none"/>
              </w:rPr>
              <w:br w:type="textWrapping"/>
            </w:r>
            <w:r>
              <w:rPr>
                <w:rFonts w:ascii="仿宋" w:hAnsi="仿宋" w:eastAsia="仿宋"/>
                <w:b/>
                <w:bCs/>
                <w:szCs w:val="21"/>
                <w:highlight w:val="none"/>
              </w:rPr>
              <w:t>B份额简称：“华夏理财固收纯债封闭式351号181天B”</w:t>
            </w:r>
            <w:r>
              <w:rPr>
                <w:rFonts w:ascii="仿宋" w:hAnsi="仿宋" w:eastAsia="仿宋"/>
                <w:b/>
                <w:bCs/>
                <w:szCs w:val="21"/>
                <w:highlight w:val="none"/>
              </w:rPr>
              <w:br w:type="textWrapping"/>
            </w:r>
            <w:r>
              <w:rPr>
                <w:rFonts w:ascii="仿宋" w:hAnsi="仿宋" w:eastAsia="仿宋"/>
                <w:b/>
                <w:bCs/>
                <w:szCs w:val="21"/>
                <w:highlight w:val="none"/>
              </w:rPr>
              <w:t>C份额简称：“华夏理财固收纯债封闭式351号181天C”</w:t>
            </w:r>
            <w:r>
              <w:rPr>
                <w:rFonts w:ascii="仿宋" w:hAnsi="仿宋" w:eastAsia="仿宋"/>
                <w:b/>
                <w:bCs/>
                <w:szCs w:val="21"/>
                <w:highlight w:val="none"/>
              </w:rPr>
              <w:br w:type="textWrapping"/>
            </w:r>
            <w:r>
              <w:rPr>
                <w:rFonts w:ascii="仿宋" w:hAnsi="仿宋" w:eastAsia="仿宋"/>
                <w:b/>
                <w:bCs/>
                <w:szCs w:val="21"/>
                <w:highlight w:val="none"/>
              </w:rPr>
              <w:t>D份额简称：“华夏理财固收纯债封闭式351号181天D”</w:t>
            </w:r>
            <w:r>
              <w:rPr>
                <w:rFonts w:ascii="仿宋" w:hAnsi="仿宋" w:eastAsia="仿宋"/>
                <w:b/>
                <w:bCs/>
                <w:szCs w:val="21"/>
                <w:highlight w:val="none"/>
              </w:rPr>
              <w:br w:type="textWrapping"/>
            </w:r>
            <w:r>
              <w:rPr>
                <w:rFonts w:ascii="仿宋" w:hAnsi="仿宋" w:eastAsia="仿宋"/>
                <w:b/>
                <w:bCs/>
                <w:szCs w:val="21"/>
                <w:highlight w:val="none"/>
              </w:rPr>
              <w:t>E份额简称：“华夏理财固收纯债封闭式351号181天E”</w:t>
            </w:r>
            <w:r>
              <w:rPr>
                <w:rFonts w:ascii="仿宋" w:hAnsi="仿宋" w:eastAsia="仿宋"/>
                <w:b/>
                <w:bCs/>
                <w:szCs w:val="21"/>
                <w:highlight w:val="none"/>
              </w:rPr>
              <w:br w:type="textWrapping"/>
            </w:r>
            <w:r>
              <w:rPr>
                <w:rFonts w:ascii="仿宋" w:hAnsi="仿宋" w:eastAsia="仿宋"/>
                <w:b/>
                <w:bCs/>
                <w:szCs w:val="21"/>
                <w:highlight w:val="none"/>
              </w:rPr>
              <w:t>H份额简称：“华夏理财固收纯债封闭式351号181天H”</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2"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产品代码</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default" w:eastAsia="仿宋"/>
                <w:highlight w:val="none"/>
                <w:lang w:val="en-US" w:eastAsia="zh-CN"/>
              </w:rPr>
            </w:pPr>
            <w:r>
              <w:rPr>
                <w:rFonts w:ascii="仿宋" w:hAnsi="仿宋" w:eastAsia="仿宋"/>
                <w:bCs/>
                <w:szCs w:val="21"/>
                <w:highlight w:val="none"/>
                <w:u w:val="none"/>
              </w:rPr>
              <w:t>26111068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2"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Cs/>
                <w:szCs w:val="21"/>
                <w:highlight w:val="none"/>
              </w:rPr>
            </w:pPr>
            <w:r>
              <w:rPr>
                <w:rFonts w:hint="eastAsia" w:ascii="仿宋" w:hAnsi="仿宋" w:eastAsia="仿宋"/>
                <w:bCs/>
                <w:szCs w:val="21"/>
                <w:highlight w:val="none"/>
                <w:u w:val="none"/>
              </w:rPr>
              <w:t>销售代码</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Cs/>
                <w:szCs w:val="21"/>
                <w:highlight w:val="none"/>
              </w:rPr>
            </w:pPr>
            <w:r>
              <w:rPr>
                <w:rFonts w:ascii="仿宋" w:hAnsi="仿宋" w:eastAsia="仿宋"/>
                <w:bCs/>
                <w:szCs w:val="21"/>
                <w:highlight w:val="none"/>
                <w:u w:val="none"/>
              </w:rPr>
              <w:t>A份额代码：26111068A</w:t>
            </w:r>
            <w:r>
              <w:rPr>
                <w:rFonts w:ascii="仿宋" w:hAnsi="仿宋" w:eastAsia="仿宋"/>
                <w:bCs/>
                <w:szCs w:val="21"/>
                <w:highlight w:val="none"/>
                <w:u w:val="none"/>
              </w:rPr>
              <w:br w:type="textWrapping"/>
            </w:r>
            <w:r>
              <w:rPr>
                <w:rFonts w:ascii="仿宋" w:hAnsi="仿宋" w:eastAsia="仿宋"/>
                <w:bCs/>
                <w:szCs w:val="21"/>
                <w:highlight w:val="none"/>
                <w:u w:val="none"/>
              </w:rPr>
              <w:t>B份额代码：26111068B</w:t>
            </w:r>
            <w:r>
              <w:rPr>
                <w:rFonts w:ascii="仿宋" w:hAnsi="仿宋" w:eastAsia="仿宋"/>
                <w:bCs/>
                <w:szCs w:val="21"/>
                <w:highlight w:val="none"/>
                <w:u w:val="none"/>
              </w:rPr>
              <w:br w:type="textWrapping"/>
            </w:r>
            <w:r>
              <w:rPr>
                <w:rFonts w:ascii="仿宋" w:hAnsi="仿宋" w:eastAsia="仿宋"/>
                <w:bCs/>
                <w:szCs w:val="21"/>
                <w:highlight w:val="none"/>
                <w:u w:val="none"/>
              </w:rPr>
              <w:t>C份额代码：26111068C</w:t>
            </w:r>
            <w:r>
              <w:rPr>
                <w:rFonts w:ascii="仿宋" w:hAnsi="仿宋" w:eastAsia="仿宋"/>
                <w:bCs/>
                <w:szCs w:val="21"/>
                <w:highlight w:val="none"/>
                <w:u w:val="none"/>
              </w:rPr>
              <w:br w:type="textWrapping"/>
            </w:r>
            <w:r>
              <w:rPr>
                <w:rFonts w:ascii="仿宋" w:hAnsi="仿宋" w:eastAsia="仿宋"/>
                <w:bCs/>
                <w:szCs w:val="21"/>
                <w:highlight w:val="none"/>
                <w:u w:val="none"/>
              </w:rPr>
              <w:t>D份额代码：26111068D</w:t>
            </w:r>
            <w:r>
              <w:rPr>
                <w:rFonts w:ascii="仿宋" w:hAnsi="仿宋" w:eastAsia="仿宋"/>
                <w:bCs/>
                <w:szCs w:val="21"/>
                <w:highlight w:val="none"/>
                <w:u w:val="none"/>
              </w:rPr>
              <w:br w:type="textWrapping"/>
            </w:r>
            <w:r>
              <w:rPr>
                <w:rFonts w:ascii="仿宋" w:hAnsi="仿宋" w:eastAsia="仿宋"/>
                <w:bCs/>
                <w:szCs w:val="21"/>
                <w:highlight w:val="none"/>
                <w:u w:val="none"/>
              </w:rPr>
              <w:t>E份额代码：26111068E</w:t>
            </w:r>
            <w:r>
              <w:rPr>
                <w:rFonts w:ascii="仿宋" w:hAnsi="仿宋" w:eastAsia="仿宋"/>
                <w:bCs/>
                <w:szCs w:val="21"/>
                <w:highlight w:val="none"/>
                <w:u w:val="none"/>
              </w:rPr>
              <w:br w:type="textWrapping"/>
            </w:r>
            <w:r>
              <w:rPr>
                <w:rFonts w:ascii="仿宋" w:hAnsi="仿宋" w:eastAsia="仿宋"/>
                <w:bCs/>
                <w:szCs w:val="21"/>
                <w:highlight w:val="none"/>
                <w:u w:val="none"/>
              </w:rPr>
              <w:t>H份额代码：26111068H</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全国银行业理财信息登记系统登记编码</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u w:val="none"/>
              </w:rPr>
              <w:t>Z7003926000316</w:t>
            </w:r>
          </w:p>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投资者可以依据该登记编码在中国理财网（www.chinawealth.com.cn）查询产品信息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产品管理人</w:t>
            </w:r>
          </w:p>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/管理人</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default" w:eastAsia="仿宋"/>
                <w:highlight w:val="none"/>
                <w:lang w:val="en-US" w:eastAsia="zh-CN"/>
              </w:rPr>
            </w:pPr>
            <w:r>
              <w:rPr>
                <w:rFonts w:hint="eastAsia" w:ascii="仿宋" w:hAnsi="仿宋" w:eastAsia="仿宋"/>
                <w:bCs/>
                <w:szCs w:val="21"/>
                <w:highlight w:val="none"/>
              </w:rPr>
              <w:t>华夏理财</w:t>
            </w:r>
            <w:r>
              <w:rPr>
                <w:rFonts w:hint="eastAsia" w:ascii="仿宋" w:hAnsi="仿宋" w:eastAsia="仿宋"/>
                <w:bCs/>
                <w:szCs w:val="21"/>
                <w:highlight w:val="none"/>
                <w:lang w:val="en-US" w:eastAsia="zh-CN"/>
              </w:rPr>
              <w:t>有限责任公司</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产品募集方式</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公募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产品运作模式</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封闭式净值型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产品投资性质</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固定收益类</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产品收益</w:t>
            </w:r>
            <w:r>
              <w:rPr>
                <w:rFonts w:ascii="仿宋" w:hAnsi="仿宋" w:eastAsia="仿宋"/>
                <w:bCs/>
                <w:szCs w:val="21"/>
                <w:highlight w:val="none"/>
              </w:rPr>
              <w:t>类型</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非保本浮动收益</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投资及收益币种</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人民币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产品风险评级</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ascii="仿宋" w:hAnsi="仿宋" w:eastAsia="仿宋"/>
                <w:bCs/>
                <w:szCs w:val="21"/>
                <w:highlight w:val="none"/>
              </w:rPr>
              <w:t>根据华夏</w:t>
            </w:r>
            <w:r>
              <w:rPr>
                <w:rFonts w:hint="eastAsia" w:ascii="仿宋" w:hAnsi="仿宋" w:eastAsia="仿宋"/>
                <w:bCs/>
                <w:szCs w:val="21"/>
                <w:highlight w:val="none"/>
              </w:rPr>
              <w:t>理财</w:t>
            </w:r>
            <w:r>
              <w:rPr>
                <w:rFonts w:ascii="仿宋" w:hAnsi="仿宋" w:eastAsia="仿宋"/>
                <w:bCs/>
                <w:szCs w:val="21"/>
                <w:highlight w:val="none"/>
              </w:rPr>
              <w:t>产品风险评级，本产品</w:t>
            </w:r>
            <w:r>
              <w:rPr>
                <w:rFonts w:ascii="仿宋" w:hAnsi="仿宋" w:eastAsia="仿宋"/>
                <w:bCs/>
                <w:szCs w:val="21"/>
                <w:highlight w:val="none"/>
              </w:rPr>
              <w:t>为</w:t>
            </w:r>
            <w:r>
              <w:rPr>
                <w:rFonts w:hint="eastAsia" w:ascii="仿宋" w:hAnsi="仿宋" w:eastAsia="仿宋"/>
                <w:bCs/>
                <w:szCs w:val="21"/>
                <w:highlight w:val="none"/>
                <w:u w:val="single"/>
              </w:rPr>
              <w:t>PR2级（中低风险）</w:t>
            </w:r>
            <w:r>
              <w:rPr>
                <w:rFonts w:ascii="仿宋" w:hAnsi="仿宋" w:eastAsia="仿宋"/>
                <w:bCs/>
                <w:szCs w:val="21"/>
                <w:highlight w:val="none"/>
              </w:rPr>
              <w:t>理财</w:t>
            </w:r>
            <w:r>
              <w:rPr>
                <w:rFonts w:ascii="仿宋" w:hAnsi="仿宋" w:eastAsia="仿宋"/>
                <w:bCs/>
                <w:szCs w:val="21"/>
                <w:highlight w:val="none"/>
              </w:rPr>
              <w:t>产品。</w:t>
            </w:r>
          </w:p>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ascii="仿宋" w:hAnsi="仿宋" w:eastAsia="仿宋"/>
                <w:bCs/>
                <w:szCs w:val="21"/>
                <w:highlight w:val="none"/>
              </w:rPr>
              <w:t>理财产品风险</w:t>
            </w:r>
            <w:r>
              <w:rPr>
                <w:rFonts w:hint="eastAsia" w:ascii="仿宋" w:hAnsi="仿宋" w:eastAsia="仿宋"/>
                <w:bCs/>
                <w:szCs w:val="21"/>
                <w:highlight w:val="none"/>
              </w:rPr>
              <w:t>评</w:t>
            </w:r>
            <w:r>
              <w:rPr>
                <w:rFonts w:ascii="仿宋" w:hAnsi="仿宋" w:eastAsia="仿宋"/>
                <w:bCs/>
                <w:szCs w:val="21"/>
                <w:highlight w:val="none"/>
              </w:rPr>
              <w:t>级</w:t>
            </w:r>
            <w:r>
              <w:rPr>
                <w:rFonts w:hint="eastAsia" w:ascii="仿宋" w:hAnsi="仿宋" w:eastAsia="仿宋"/>
                <w:bCs/>
                <w:szCs w:val="21"/>
                <w:highlight w:val="none"/>
              </w:rPr>
              <w:t>分</w:t>
            </w:r>
            <w:r>
              <w:rPr>
                <w:rFonts w:ascii="仿宋" w:hAnsi="仿宋" w:eastAsia="仿宋"/>
                <w:bCs/>
                <w:szCs w:val="21"/>
                <w:highlight w:val="none"/>
              </w:rPr>
              <w:t>为：</w:t>
            </w:r>
            <w:r>
              <w:rPr>
                <w:rFonts w:hint="eastAsia" w:ascii="仿宋" w:hAnsi="仿宋" w:eastAsia="仿宋"/>
                <w:bCs/>
                <w:szCs w:val="21"/>
                <w:highlight w:val="none"/>
              </w:rPr>
              <w:t>PR1级（低风险）、PR2级（中低风险）、PR3级（中等风险）、PR4级（中高风险）、PR5级（高风险）</w:t>
            </w:r>
            <w:r>
              <w:rPr>
                <w:rFonts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2" w:firstLineChars="200"/>
              <w:textAlignment w:val="auto"/>
              <w:rPr>
                <w:rFonts w:hint="eastAsia" w:ascii="仿宋" w:hAnsi="仿宋" w:eastAsia="仿宋"/>
                <w:bCs/>
                <w:szCs w:val="21"/>
                <w:highlight w:val="none"/>
              </w:rPr>
            </w:pPr>
            <w:r>
              <w:rPr>
                <w:rFonts w:hint="eastAsia" w:ascii="仿宋" w:hAnsi="仿宋" w:eastAsia="仿宋"/>
                <w:b/>
                <w:szCs w:val="21"/>
                <w:highlight w:val="none"/>
              </w:rPr>
              <w:t>本理财产品存续期内，华夏理财有权根据市场变化调整产品风险评级，并至少于生效前3个工作日通过本产品说明书约定的信息披露渠道进行公告；如本理财产品的产品风险评级在封闭期内发生调整，投资者不得以自身风险承受能力评估结果与产品风险评级不匹配等为由要求提前赎回理财产品份额，</w:t>
            </w:r>
            <w:r>
              <w:rPr>
                <w:rFonts w:hint="eastAsia" w:ascii="仿宋" w:hAnsi="仿宋" w:eastAsia="仿宋"/>
                <w:b/>
                <w:bCs/>
                <w:color w:val="000000"/>
                <w:szCs w:val="21"/>
                <w:highlight w:val="none"/>
              </w:rPr>
              <w:t>华夏理财/代销机构将不</w:t>
            </w:r>
            <w:r>
              <w:rPr>
                <w:rFonts w:hint="eastAsia" w:ascii="仿宋" w:hAnsi="仿宋" w:eastAsia="仿宋"/>
                <w:b/>
                <w:bCs/>
                <w:color w:val="000000"/>
                <w:szCs w:val="21"/>
                <w:highlight w:val="none"/>
                <w:lang w:val="en-US" w:eastAsia="zh-CN"/>
              </w:rPr>
              <w:t>接</w:t>
            </w:r>
            <w:r>
              <w:rPr>
                <w:rFonts w:hint="eastAsia" w:ascii="仿宋" w:hAnsi="仿宋" w:eastAsia="仿宋"/>
                <w:b/>
                <w:bCs/>
                <w:color w:val="000000"/>
                <w:szCs w:val="21"/>
                <w:highlight w:val="none"/>
              </w:rPr>
              <w:t>受理投资者任何形式的提前赎回申请。</w:t>
            </w:r>
          </w:p>
          <w:p>
            <w:pPr>
              <w:keepNext w:val="0"/>
              <w:keepLines w:val="0"/>
              <w:pageBreakBefore w:val="0"/>
              <w:widowControl w:val="0"/>
              <w:kinsoku/>
              <w:wordWrap/>
              <w:overflowPunct/>
              <w:topLinePunct w:val="0"/>
              <w:autoSpaceDE/>
              <w:autoSpaceDN/>
              <w:bidi w:val="0"/>
              <w:adjustRightInd/>
              <w:snapToGrid/>
              <w:spacing w:line="300" w:lineRule="atLeast"/>
              <w:ind w:firstLine="422"/>
              <w:jc w:val="both"/>
              <w:textAlignment w:val="auto"/>
              <w:rPr>
                <w:highlight w:val="none"/>
              </w:rPr>
            </w:pPr>
            <w:r>
              <w:rPr>
                <w:rFonts w:hint="eastAsia" w:ascii="仿宋" w:hAnsi="仿宋" w:eastAsia="仿宋"/>
                <w:b/>
                <w:bCs/>
                <w:szCs w:val="21"/>
                <w:highlight w:val="none"/>
              </w:rPr>
              <w:t>本理财产品风险评级为华夏理财自主评定，仅供参考。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产品销售评级</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本理财产品通过代理销售机构（以下简称“代销机构”）渠道销售的，理财产品评级应当以代销机构最终披露的评级结果为准。</w:t>
            </w:r>
            <w:r>
              <w:rPr>
                <w:rFonts w:hint="eastAsia" w:ascii="仿宋" w:hAnsi="仿宋" w:eastAsia="仿宋"/>
                <w:szCs w:val="21"/>
                <w:highlight w:val="none"/>
              </w:rPr>
              <w:t>代销机构如与华夏理财产品风险评级结果不一致，应当采用对应较高风险等级的评级结果</w:t>
            </w:r>
            <w:r>
              <w:rPr>
                <w:rFonts w:ascii="仿宋" w:hAnsi="仿宋" w:eastAsia="仿宋"/>
                <w:b w:val="0"/>
                <w:bCs w:val="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销售</w:t>
            </w:r>
            <w:r>
              <w:rPr>
                <w:rFonts w:ascii="仿宋" w:hAnsi="仿宋" w:eastAsia="仿宋"/>
                <w:bCs/>
                <w:szCs w:val="21"/>
                <w:highlight w:val="none"/>
              </w:rPr>
              <w:t>对象</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default" w:eastAsia="仿宋"/>
                <w:highlight w:val="none"/>
                <w:lang w:val="en-US" w:eastAsia="zh-CN"/>
              </w:rPr>
            </w:pPr>
            <w:r>
              <w:rPr>
                <w:rFonts w:hint="eastAsia" w:ascii="仿宋" w:hAnsi="仿宋" w:eastAsia="仿宋"/>
                <w:bCs/>
                <w:szCs w:val="21"/>
                <w:highlight w:val="none"/>
              </w:rPr>
              <w:t>个人投资者、机构投资者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适合投资者</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本理财产品</w:t>
            </w:r>
            <w:r>
              <w:rPr>
                <w:rFonts w:ascii="仿宋" w:hAnsi="仿宋" w:eastAsia="仿宋"/>
                <w:bCs/>
                <w:szCs w:val="21"/>
                <w:highlight w:val="none"/>
              </w:rPr>
              <w:t>面向</w:t>
            </w:r>
            <w:r>
              <w:rPr>
                <w:rFonts w:hint="eastAsia" w:ascii="仿宋" w:hAnsi="仿宋" w:eastAsia="仿宋"/>
                <w:bCs/>
                <w:szCs w:val="21"/>
                <w:highlight w:val="none"/>
              </w:rPr>
              <w:t>不特定社会公众</w:t>
            </w:r>
            <w:r>
              <w:rPr>
                <w:rFonts w:ascii="仿宋" w:hAnsi="仿宋" w:eastAsia="仿宋"/>
                <w:bCs/>
                <w:szCs w:val="21"/>
                <w:highlight w:val="none"/>
              </w:rPr>
              <w:t>销售，</w:t>
            </w:r>
            <w:r>
              <w:rPr>
                <w:rFonts w:hint="eastAsia" w:ascii="仿宋" w:hAnsi="仿宋" w:eastAsia="仿宋"/>
                <w:bCs/>
                <w:szCs w:val="21"/>
                <w:highlight w:val="none"/>
              </w:rPr>
              <w:t>包括</w:t>
            </w:r>
            <w:r>
              <w:rPr>
                <w:rFonts w:ascii="仿宋" w:hAnsi="仿宋" w:eastAsia="仿宋"/>
                <w:bCs/>
                <w:szCs w:val="21"/>
                <w:highlight w:val="none"/>
              </w:rPr>
              <w:t>经</w:t>
            </w:r>
            <w:r>
              <w:rPr>
                <w:rFonts w:hint="eastAsia" w:ascii="仿宋" w:hAnsi="仿宋" w:eastAsia="仿宋"/>
                <w:bCs/>
                <w:szCs w:val="21"/>
                <w:highlight w:val="none"/>
              </w:rPr>
              <w:t>华夏理财</w:t>
            </w:r>
            <w:r>
              <w:rPr>
                <w:rFonts w:ascii="仿宋" w:hAnsi="仿宋" w:eastAsia="仿宋"/>
                <w:bCs/>
                <w:szCs w:val="21"/>
                <w:highlight w:val="none"/>
              </w:rPr>
              <w:t>风险评估评定为</w:t>
            </w:r>
            <w:r>
              <w:rPr>
                <w:rFonts w:hint="eastAsia" w:ascii="仿宋" w:hAnsi="仿宋" w:eastAsia="仿宋"/>
                <w:bCs/>
                <w:szCs w:val="21"/>
                <w:highlight w:val="none"/>
              </w:rPr>
              <w:t>【</w:t>
            </w:r>
            <w:r>
              <w:rPr>
                <w:rFonts w:hint="eastAsia" w:ascii="仿宋" w:hAnsi="仿宋" w:eastAsia="仿宋"/>
                <w:bCs/>
                <w:szCs w:val="21"/>
                <w:highlight w:val="none"/>
                <w:u w:val="single"/>
              </w:rPr>
              <w:t>CR2（稳健型）、CR3（平衡型）、CR4（进取型）、CR5（激进型）</w:t>
            </w:r>
            <w:r>
              <w:rPr>
                <w:rFonts w:hint="eastAsia" w:ascii="仿宋" w:hAnsi="仿宋" w:eastAsia="仿宋"/>
                <w:bCs/>
                <w:szCs w:val="21"/>
                <w:highlight w:val="none"/>
              </w:rPr>
              <w:t>】的普通投资者和专业投资者。客户风险承受能力评级类型分为：CR1（谨慎型）、CR2（稳健型）、CR3（平衡型）、CR4（进取型）、CR5（激进型）</w:t>
            </w:r>
            <w:r>
              <w:rPr>
                <w:rFonts w:ascii="仿宋" w:hAnsi="仿宋" w:eastAsia="仿宋"/>
                <w:bCs/>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通过代销机构购买的，适合投资者及投资者风险承受能力评估结果以代销机构规定为准。</w:t>
            </w:r>
          </w:p>
          <w:p>
            <w:pPr>
              <w:keepLines w:val="0"/>
              <w:pageBreakBefore w:val="0"/>
              <w:widowControl w:val="0"/>
              <w:kinsoku/>
              <w:wordWrap/>
              <w:overflowPunct/>
              <w:topLinePunct w:val="0"/>
              <w:autoSpaceDE/>
              <w:autoSpaceDN/>
              <w:bidi w:val="0"/>
              <w:adjustRightInd/>
              <w:snapToGrid/>
              <w:spacing w:line="300" w:lineRule="atLeast"/>
              <w:ind w:firstLine="422" w:firstLineChars="200"/>
              <w:textAlignment w:val="auto"/>
              <w:rPr>
                <w:rFonts w:ascii="仿宋" w:hAnsi="仿宋" w:eastAsia="仿宋"/>
                <w:b/>
                <w:bCs/>
                <w:szCs w:val="21"/>
                <w:highlight w:val="none"/>
              </w:rPr>
            </w:pPr>
            <w:r>
              <w:rPr>
                <w:rFonts w:hint="eastAsia" w:ascii="仿宋" w:hAnsi="仿宋" w:eastAsia="仿宋"/>
                <w:b/>
                <w:bCs/>
                <w:szCs w:val="21"/>
                <w:highlight w:val="none"/>
              </w:rPr>
              <w:t>华夏理财/代销机构根据投资者自身提供的信息评估投资者风险承受能力，因投资者提供信息不准确或不完整，导致其购买与自己风险承受能力不匹配的理财产品的</w:t>
            </w:r>
            <w:r>
              <w:rPr>
                <w:rFonts w:ascii="仿宋" w:hAnsi="仿宋" w:eastAsia="仿宋"/>
                <w:b/>
                <w:bCs/>
                <w:szCs w:val="21"/>
                <w:highlight w:val="none"/>
              </w:rPr>
              <w:t>责任和风险由</w:t>
            </w:r>
            <w:r>
              <w:rPr>
                <w:rFonts w:hint="eastAsia" w:ascii="仿宋" w:hAnsi="仿宋" w:eastAsia="仿宋"/>
                <w:b/>
                <w:bCs/>
                <w:szCs w:val="21"/>
                <w:highlight w:val="none"/>
              </w:rPr>
              <w:t>投资者</w:t>
            </w:r>
            <w:r>
              <w:rPr>
                <w:rFonts w:ascii="仿宋" w:hAnsi="仿宋" w:eastAsia="仿宋"/>
                <w:b/>
                <w:bCs/>
                <w:szCs w:val="21"/>
                <w:highlight w:val="none"/>
              </w:rPr>
              <w:t>承担</w:t>
            </w:r>
            <w:r>
              <w:rPr>
                <w:rFonts w:hint="eastAsia" w:ascii="仿宋" w:hAnsi="仿宋" w:eastAsia="仿宋"/>
                <w:b/>
                <w:bCs/>
                <w:szCs w:val="21"/>
                <w:highlight w:val="none"/>
              </w:rPr>
              <w:t>；如投资者属于专业投资者，华夏理财/代销机构有权视情况简化或者免于对该等专业投资者进行风险承受能力评估。</w:t>
            </w:r>
          </w:p>
          <w:p>
            <w:pPr>
              <w:keepLines w:val="0"/>
              <w:pageBreakBefore w:val="0"/>
              <w:widowControl w:val="0"/>
              <w:kinsoku/>
              <w:wordWrap/>
              <w:overflowPunct/>
              <w:topLinePunct w:val="0"/>
              <w:autoSpaceDE/>
              <w:autoSpaceDN/>
              <w:bidi w:val="0"/>
              <w:adjustRightInd/>
              <w:snapToGrid/>
              <w:spacing w:line="300" w:lineRule="atLeast"/>
              <w:ind w:firstLine="420" w:firstLineChars="200"/>
              <w:textAlignment w:val="auto"/>
              <w:rPr>
                <w:rFonts w:hint="eastAsia" w:ascii="仿宋" w:hAnsi="仿宋" w:eastAsia="仿宋"/>
                <w:bCs/>
                <w:color w:val="000000"/>
                <w:szCs w:val="21"/>
                <w:highlight w:val="none"/>
              </w:rPr>
            </w:pPr>
            <w:r>
              <w:rPr>
                <w:rFonts w:hint="eastAsia" w:ascii="仿宋" w:hAnsi="仿宋" w:eastAsia="仿宋"/>
                <w:bCs/>
                <w:color w:val="000000"/>
                <w:szCs w:val="21"/>
                <w:highlight w:val="none"/>
              </w:rPr>
              <w:t>专业投资者与普通投资者的界定，以</w:t>
            </w:r>
            <w:r>
              <w:rPr>
                <w:rFonts w:hint="eastAsia" w:ascii="仿宋" w:hAnsi="仿宋" w:eastAsia="仿宋"/>
                <w:bCs/>
                <w:szCs w:val="21"/>
                <w:highlight w:val="none"/>
              </w:rPr>
              <w:t>《金融机构产品适当性管理办法》等法律法规、监管规定为准。</w:t>
            </w:r>
          </w:p>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
                <w:bCs/>
                <w:szCs w:val="21"/>
                <w:highlight w:val="none"/>
              </w:rPr>
            </w:pPr>
            <w:r>
              <w:rPr>
                <w:rFonts w:hint="eastAsia" w:ascii="仿宋" w:hAnsi="仿宋" w:eastAsia="仿宋"/>
                <w:b w:val="0"/>
                <w:bCs w:val="0"/>
                <w:szCs w:val="21"/>
                <w:highlight w:val="none"/>
              </w:rPr>
              <w:t>如影响风险承受能力的因素发生变化，请及时完成风险承受能力评估。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cs="Cambria"/>
                <w:bCs/>
                <w:szCs w:val="21"/>
                <w:highlight w:val="none"/>
              </w:rPr>
            </w:pPr>
            <w:r>
              <w:rPr>
                <w:rFonts w:hint="eastAsia" w:ascii="仿宋" w:hAnsi="仿宋" w:eastAsia="仿宋"/>
                <w:bCs/>
                <w:szCs w:val="21"/>
                <w:highlight w:val="none"/>
              </w:rPr>
              <w:t>业绩比较</w:t>
            </w:r>
            <w:r>
              <w:rPr>
                <w:rFonts w:ascii="仿宋" w:hAnsi="仿宋" w:eastAsia="仿宋"/>
                <w:bCs/>
                <w:szCs w:val="21"/>
                <w:highlight w:val="none"/>
              </w:rPr>
              <w:t>基准</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cs="Cambria"/>
                <w:bCs/>
                <w:szCs w:val="21"/>
                <w:highlight w:val="none"/>
              </w:rPr>
            </w:pPr>
            <w:r>
              <w:rPr>
                <w:rFonts w:hint="eastAsia" w:ascii="仿宋" w:hAnsi="仿宋" w:eastAsia="仿宋"/>
                <w:bCs/>
                <w:color w:val="000000"/>
                <w:szCs w:val="21"/>
                <w:highlight w:val="none"/>
                <w:u w:val="none"/>
              </w:rPr>
              <w:t>A份额：业绩比较基准为2.25%（年化）；B份额：业绩比较基准为2.20%（年化）；C份额：业绩比较基准为2.10%（年化）；D份额：业绩比较基准为2.05%（年化）；E份额：业绩比较基准为2.00%（年化）；H份额：业绩比较基准为2.15%（年化）</w:t>
            </w:r>
            <w:r>
              <w:rPr>
                <w:rFonts w:hint="eastAsia" w:ascii="仿宋" w:hAnsi="仿宋" w:eastAsia="仿宋"/>
                <w:bCs/>
                <w:color w:val="000000"/>
                <w:szCs w:val="21"/>
                <w:highlight w:val="none"/>
                <w:u w:val="none"/>
                <w:lang w:val="en-US" w:eastAsia="zh-CN"/>
              </w:rPr>
              <w:t>。</w:t>
            </w:r>
            <w:r>
              <w:rPr>
                <w:rFonts w:hint="eastAsia" w:ascii="仿宋" w:hAnsi="仿宋" w:eastAsia="仿宋"/>
                <w:bCs/>
                <w:color w:val="000000"/>
                <w:szCs w:val="21"/>
                <w:highlight w:val="none"/>
                <w:u w:val="none"/>
              </w:rPr>
              <w:t>产品全部投资于固定收益类资产，以产品主要投资于存款、债券类资产为例，参考目标资产当前收益水平，结合产品灵活期限投资策略并扣除各项费用后，综合测算得出上述业绩比较基准。测算示例仅供参考，具体资产投资比例可根据各类资产的收益水平、流动性特征、信用风险等因素动态调整。</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cs="Cambria"/>
                <w:bCs/>
                <w:szCs w:val="21"/>
                <w:highlight w:val="none"/>
              </w:rPr>
            </w:pPr>
            <w:r>
              <w:rPr>
                <w:rFonts w:hint="eastAsia" w:ascii="仿宋" w:hAnsi="仿宋" w:eastAsia="仿宋" w:cs="Cambria"/>
                <w:bCs/>
                <w:szCs w:val="21"/>
                <w:highlight w:val="none"/>
              </w:rPr>
              <w:t>业绩比较基准是管理人基于产品性质、投资策略、过往经验等因素对产品设定的投资目标，</w:t>
            </w:r>
            <w:r>
              <w:rPr>
                <w:rFonts w:hint="eastAsia" w:ascii="仿宋" w:hAnsi="仿宋" w:eastAsia="仿宋" w:cs="Cambria"/>
                <w:b/>
                <w:szCs w:val="21"/>
                <w:highlight w:val="none"/>
              </w:rPr>
              <w:t>业绩比较基准不是预期收益率，不代表产品的未来表现和实际收益，不构成对产品收益的承诺</w:t>
            </w:r>
            <w:r>
              <w:rPr>
                <w:rFonts w:hint="eastAsia" w:ascii="仿宋" w:hAnsi="仿宋" w:eastAsia="仿宋" w:cs="Cambria"/>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color w:val="000000"/>
                <w:szCs w:val="21"/>
                <w:highlight w:val="none"/>
              </w:rPr>
            </w:pPr>
            <w:r>
              <w:rPr>
                <w:rFonts w:hint="eastAsia" w:ascii="仿宋" w:hAnsi="仿宋" w:eastAsia="仿宋"/>
                <w:bCs/>
                <w:color w:val="000000"/>
                <w:szCs w:val="21"/>
                <w:highlight w:val="none"/>
              </w:rPr>
              <w:t>华夏理财有权根据市场情况及产品运作情况调整</w:t>
            </w:r>
            <w:r>
              <w:rPr>
                <w:rFonts w:hint="eastAsia" w:ascii="仿宋" w:hAnsi="仿宋" w:eastAsia="仿宋"/>
                <w:bCs/>
                <w:szCs w:val="21"/>
                <w:highlight w:val="none"/>
              </w:rPr>
              <w:t>业绩比较基准</w:t>
            </w:r>
            <w:r>
              <w:rPr>
                <w:rFonts w:hint="eastAsia" w:ascii="仿宋" w:hAnsi="仿宋" w:eastAsia="仿宋"/>
                <w:bCs/>
                <w:color w:val="000000"/>
                <w:szCs w:val="21"/>
                <w:highlight w:val="none"/>
              </w:rPr>
              <w:t>，并至少于新业绩比较</w:t>
            </w:r>
            <w:r>
              <w:rPr>
                <w:rFonts w:hint="eastAsia" w:ascii="仿宋" w:hAnsi="仿宋" w:eastAsia="仿宋" w:cs="仿宋"/>
                <w:bCs/>
                <w:szCs w:val="21"/>
                <w:highlight w:val="none"/>
              </w:rPr>
              <w:t>基准</w:t>
            </w:r>
            <w:r>
              <w:rPr>
                <w:rFonts w:hint="eastAsia" w:ascii="仿宋" w:hAnsi="仿宋" w:eastAsia="仿宋"/>
                <w:bCs/>
                <w:szCs w:val="21"/>
                <w:highlight w:val="none"/>
              </w:rPr>
              <w:t>启用前3个工作日公告</w:t>
            </w:r>
            <w:r>
              <w:rPr>
                <w:rFonts w:hint="eastAsia" w:ascii="仿宋" w:hAnsi="仿宋" w:eastAsia="仿宋"/>
                <w:bCs/>
                <w:color w:val="000000"/>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
                <w:bCs/>
                <w:szCs w:val="21"/>
                <w:highlight w:val="none"/>
              </w:rPr>
            </w:pPr>
            <w:r>
              <w:rPr>
                <w:rFonts w:hint="eastAsia" w:ascii="仿宋" w:hAnsi="仿宋" w:eastAsia="仿宋"/>
                <w:b/>
                <w:bCs/>
                <w:szCs w:val="21"/>
                <w:highlight w:val="none"/>
              </w:rPr>
              <w:t>1.本理财产品为净值型产品，其业绩表现将随市场波动，具有不确定性。</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
                <w:bCs/>
                <w:szCs w:val="21"/>
                <w:highlight w:val="none"/>
              </w:rPr>
            </w:pPr>
            <w:r>
              <w:rPr>
                <w:rFonts w:hint="eastAsia" w:ascii="仿宋" w:hAnsi="仿宋" w:eastAsia="仿宋"/>
                <w:b/>
                <w:bCs/>
                <w:szCs w:val="21"/>
                <w:highlight w:val="none"/>
              </w:rPr>
              <w:t>2.本</w:t>
            </w:r>
            <w:r>
              <w:rPr>
                <w:rFonts w:hint="eastAsia" w:ascii="仿宋" w:hAnsi="仿宋" w:eastAsia="仿宋"/>
                <w:b/>
                <w:szCs w:val="21"/>
                <w:highlight w:val="none"/>
              </w:rPr>
              <w:t>业绩比较</w:t>
            </w:r>
            <w:r>
              <w:rPr>
                <w:rFonts w:hint="eastAsia" w:ascii="仿宋" w:hAnsi="仿宋" w:eastAsia="仿宋" w:cs="仿宋"/>
                <w:b/>
                <w:szCs w:val="21"/>
                <w:highlight w:val="none"/>
              </w:rPr>
              <w:t>基准</w:t>
            </w:r>
            <w:r>
              <w:rPr>
                <w:rFonts w:hint="eastAsia" w:ascii="仿宋" w:hAnsi="仿宋" w:eastAsia="仿宋"/>
                <w:b/>
                <w:bCs/>
                <w:szCs w:val="21"/>
                <w:highlight w:val="none"/>
              </w:rPr>
              <w:t>不构成华夏理财/代销机构对本理财产品的任何收益承诺。</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highlight w:val="none"/>
              </w:rPr>
            </w:pPr>
            <w:r>
              <w:rPr>
                <w:rFonts w:hint="eastAsia" w:ascii="仿宋" w:hAnsi="仿宋" w:eastAsia="仿宋"/>
                <w:b/>
                <w:bCs/>
                <w:szCs w:val="21"/>
                <w:highlight w:val="none"/>
              </w:rPr>
              <w:t>3.理财产品过往业绩不代表其未来表现，不等于理财产品实际收益，不构成对产品收益的承诺，投资须谨慎。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bookmarkStart w:id="1" w:name="_Hlk290294163"/>
            <w:bookmarkStart w:id="2" w:name="OLE_LINK2"/>
            <w:bookmarkStart w:id="3" w:name="OLE_LINK3"/>
            <w:r>
              <w:rPr>
                <w:rFonts w:hint="eastAsia" w:ascii="仿宋" w:hAnsi="仿宋" w:eastAsia="仿宋"/>
                <w:bCs/>
                <w:szCs w:val="21"/>
                <w:highlight w:val="none"/>
              </w:rPr>
              <w:t>募集</w:t>
            </w:r>
            <w:r>
              <w:rPr>
                <w:rFonts w:ascii="仿宋" w:hAnsi="仿宋" w:eastAsia="仿宋"/>
                <w:bCs/>
                <w:szCs w:val="21"/>
                <w:highlight w:val="none"/>
              </w:rPr>
              <w:t>期</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color w:val="000000"/>
                <w:szCs w:val="21"/>
                <w:highlight w:val="none"/>
                <w:u w:val="none"/>
              </w:rPr>
              <w:t>2026年3月24日</w:t>
            </w:r>
            <w:r>
              <w:rPr>
                <w:rFonts w:hint="eastAsia" w:ascii="仿宋" w:hAnsi="仿宋" w:eastAsia="仿宋"/>
                <w:bCs/>
                <w:szCs w:val="21"/>
                <w:highlight w:val="none"/>
              </w:rPr>
              <w:t>－</w:t>
            </w:r>
            <w:r>
              <w:rPr>
                <w:rFonts w:hint="eastAsia" w:ascii="仿宋" w:hAnsi="仿宋" w:eastAsia="仿宋"/>
                <w:bCs/>
                <w:szCs w:val="21"/>
                <w:highlight w:val="none"/>
              </w:rPr>
              <w:t>2026年3月30日</w:t>
            </w:r>
            <w:r>
              <w:rPr>
                <w:rFonts w:hint="eastAsia" w:ascii="仿宋" w:hAnsi="仿宋" w:eastAsia="仿宋"/>
                <w:bCs/>
                <w:szCs w:val="21"/>
                <w:highlight w:val="none"/>
              </w:rPr>
              <w:t>（含）</w:t>
            </w:r>
          </w:p>
          <w:p>
            <w:pPr>
              <w:keepNext/>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根据市场情况，华夏理财有权提前结束认购或调整相关日期，募集期最后一日</w:t>
            </w:r>
            <w:r>
              <w:rPr>
                <w:rFonts w:hint="eastAsia" w:ascii="仿宋" w:hAnsi="仿宋" w:eastAsia="仿宋"/>
                <w:bCs/>
                <w:szCs w:val="21"/>
                <w:highlight w:val="none"/>
              </w:rPr>
              <w:t>17:30</w:t>
            </w:r>
            <w:r>
              <w:rPr>
                <w:rFonts w:hint="eastAsia" w:ascii="仿宋" w:hAnsi="仿宋" w:eastAsia="仿宋"/>
                <w:bCs/>
                <w:szCs w:val="21"/>
                <w:highlight w:val="none"/>
              </w:rPr>
              <w:t>（含）后不可认购。</w:t>
            </w:r>
          </w:p>
          <w:p>
            <w:pPr>
              <w:keepNext/>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代销机构募集期最后一日认购截止时点如与华夏理财不一致</w:t>
            </w:r>
            <w:r>
              <w:rPr>
                <w:rFonts w:hint="eastAsia" w:ascii="仿宋" w:hAnsi="仿宋" w:eastAsia="仿宋"/>
                <w:bCs/>
                <w:szCs w:val="21"/>
                <w:highlight w:val="none"/>
                <w:lang w:eastAsia="zh-CN"/>
              </w:rPr>
              <w:t>，</w:t>
            </w:r>
            <w:r>
              <w:rPr>
                <w:rFonts w:hint="eastAsia" w:ascii="仿宋" w:hAnsi="仿宋" w:eastAsia="仿宋"/>
                <w:bCs/>
                <w:szCs w:val="21"/>
                <w:highlight w:val="none"/>
              </w:rPr>
              <w:t>则以各代销机构规定为准。</w:t>
            </w:r>
            <w:bookmarkEnd w:id="1"/>
            <w:bookmarkEnd w:id="2"/>
            <w:bookmarkEnd w:id="3"/>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成立日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textAlignment w:val="auto"/>
              <w:rPr>
                <w:highlight w:val="none"/>
              </w:rPr>
            </w:pPr>
            <w:r>
              <w:rPr>
                <w:rFonts w:hint="eastAsia" w:ascii="仿宋" w:hAnsi="仿宋" w:eastAsia="仿宋"/>
                <w:bCs/>
                <w:color w:val="000000"/>
                <w:szCs w:val="21"/>
                <w:highlight w:val="none"/>
                <w:u w:val="none"/>
              </w:rPr>
              <w:t>2026年3月31日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期限</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textAlignment w:val="auto"/>
              <w:rPr>
                <w:rFonts w:hint="eastAsia" w:eastAsia="仿宋"/>
                <w:highlight w:val="none"/>
                <w:lang w:val="en-US" w:eastAsia="zh-CN"/>
              </w:rPr>
            </w:pPr>
            <w:r>
              <w:rPr>
                <w:rFonts w:hint="eastAsia" w:ascii="仿宋" w:hAnsi="仿宋" w:eastAsia="仿宋"/>
                <w:bCs/>
                <w:color w:val="000000"/>
                <w:szCs w:val="21"/>
                <w:highlight w:val="none"/>
                <w:u w:val="none"/>
              </w:rPr>
              <w:t>181</w:t>
            </w:r>
            <w:r>
              <w:rPr>
                <w:rFonts w:hint="eastAsia" w:ascii="仿宋" w:hAnsi="仿宋" w:eastAsia="仿宋"/>
                <w:bCs/>
                <w:color w:val="000000"/>
                <w:szCs w:val="21"/>
                <w:highlight w:val="none"/>
                <w:u w:val="none"/>
                <w:lang w:eastAsia="zh-CN"/>
              </w:rPr>
              <w:t>天</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到期/终止日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color w:val="000000"/>
                <w:szCs w:val="21"/>
                <w:highlight w:val="none"/>
                <w:u w:val="none"/>
              </w:rPr>
              <w:t>2026年9月28日</w:t>
            </w:r>
            <w:r>
              <w:rPr>
                <w:rFonts w:hint="eastAsia" w:ascii="仿宋" w:hAnsi="仿宋" w:eastAsia="仿宋"/>
                <w:bCs/>
                <w:szCs w:val="21"/>
                <w:highlight w:val="none"/>
              </w:rPr>
              <w:t>理财产品正常到期，到期日如为非工作日，则顺延至下一工作日。如理财产品因故提前或延迟到期的，则终止日以华夏理财发布的公告为准。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封闭期</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产品成立日至到期/终止日</w:t>
            </w:r>
            <w:r>
              <w:rPr>
                <w:rFonts w:ascii="仿宋" w:hAnsi="仿宋" w:eastAsia="仿宋"/>
                <w:bCs/>
                <w:szCs w:val="21"/>
                <w:highlight w:val="none"/>
              </w:rPr>
              <w:t>为产品的封闭期</w:t>
            </w:r>
            <w:r>
              <w:rPr>
                <w:rFonts w:hint="eastAsia"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highlight w:val="none"/>
              </w:rPr>
            </w:pPr>
            <w:r>
              <w:rPr>
                <w:rFonts w:hint="eastAsia" w:ascii="仿宋" w:hAnsi="仿宋" w:eastAsia="仿宋"/>
                <w:b/>
                <w:bCs/>
                <w:color w:val="000000"/>
                <w:szCs w:val="21"/>
                <w:highlight w:val="none"/>
              </w:rPr>
              <w:t>封闭期内，除本产品说明书规定情形以外，华夏理财/代销机构不受理投资者任何形式的提前赎回申请。因投资者资金安排不合理，导致其购买与自身流动性需求不匹配的理财产品的责任和风险由投资者承担。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到期/终止理财本金</w:t>
            </w:r>
            <w:r>
              <w:rPr>
                <w:rFonts w:ascii="仿宋" w:hAnsi="仿宋" w:eastAsia="仿宋"/>
                <w:bCs/>
                <w:szCs w:val="21"/>
                <w:highlight w:val="none"/>
              </w:rPr>
              <w:t>及</w:t>
            </w:r>
            <w:r>
              <w:rPr>
                <w:rFonts w:hint="eastAsia" w:ascii="仿宋" w:hAnsi="仿宋" w:eastAsia="仿宋"/>
                <w:bCs/>
                <w:szCs w:val="21"/>
                <w:highlight w:val="none"/>
              </w:rPr>
              <w:t>收益</w:t>
            </w:r>
            <w:r>
              <w:rPr>
                <w:rFonts w:ascii="仿宋" w:hAnsi="仿宋" w:eastAsia="仿宋"/>
                <w:bCs/>
                <w:szCs w:val="21"/>
                <w:highlight w:val="none"/>
              </w:rPr>
              <w:t>兑付</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华夏理财将于理财产品到期/终止</w:t>
            </w:r>
            <w:r>
              <w:rPr>
                <w:rFonts w:ascii="仿宋" w:hAnsi="仿宋" w:eastAsia="仿宋"/>
                <w:bCs/>
                <w:szCs w:val="21"/>
                <w:highlight w:val="none"/>
              </w:rPr>
              <w:t>日</w:t>
            </w:r>
            <w:r>
              <w:rPr>
                <w:rFonts w:hint="eastAsia" w:ascii="仿宋" w:hAnsi="仿宋" w:eastAsia="仿宋"/>
                <w:bCs/>
                <w:szCs w:val="21"/>
                <w:highlight w:val="none"/>
              </w:rPr>
              <w:t>后</w:t>
            </w:r>
            <w:r>
              <w:rPr>
                <w:rFonts w:hint="eastAsia" w:ascii="仿宋" w:hAnsi="仿宋" w:eastAsia="仿宋"/>
                <w:bCs/>
                <w:color w:val="000000"/>
                <w:szCs w:val="21"/>
                <w:highlight w:val="none"/>
                <w:u w:val="none"/>
              </w:rPr>
              <w:t>2</w:t>
            </w:r>
            <w:r>
              <w:rPr>
                <w:rFonts w:hint="eastAsia" w:ascii="仿宋" w:hAnsi="仿宋" w:eastAsia="仿宋"/>
                <w:bCs/>
                <w:szCs w:val="21"/>
                <w:highlight w:val="none"/>
              </w:rPr>
              <w:t>个</w:t>
            </w:r>
            <w:r>
              <w:rPr>
                <w:rFonts w:hint="eastAsia" w:ascii="仿宋" w:hAnsi="仿宋" w:eastAsia="仿宋"/>
                <w:bCs/>
                <w:szCs w:val="21"/>
                <w:highlight w:val="none"/>
              </w:rPr>
              <w:t>工作</w:t>
            </w:r>
            <w:r>
              <w:rPr>
                <w:rFonts w:ascii="仿宋" w:hAnsi="仿宋" w:eastAsia="仿宋"/>
                <w:bCs/>
                <w:szCs w:val="21"/>
                <w:highlight w:val="none"/>
              </w:rPr>
              <w:t>日</w:t>
            </w:r>
            <w:r>
              <w:rPr>
                <w:rFonts w:hint="eastAsia" w:ascii="仿宋" w:hAnsi="仿宋" w:eastAsia="仿宋"/>
                <w:bCs/>
                <w:szCs w:val="21"/>
                <w:highlight w:val="none"/>
              </w:rPr>
              <w:t>（内）</w:t>
            </w:r>
            <w:r>
              <w:rPr>
                <w:rFonts w:ascii="仿宋" w:hAnsi="仿宋" w:eastAsia="仿宋"/>
                <w:bCs/>
                <w:szCs w:val="21"/>
                <w:highlight w:val="none"/>
              </w:rPr>
              <w:t>，</w:t>
            </w:r>
            <w:r>
              <w:rPr>
                <w:rFonts w:hint="eastAsia" w:ascii="仿宋" w:hAnsi="仿宋" w:eastAsia="仿宋"/>
                <w:bCs/>
                <w:szCs w:val="21"/>
                <w:highlight w:val="none"/>
              </w:rPr>
              <w:t>根据实际投资结果向华夏理财客户及代销机构一次性划付理财本金及收益（如有），代销机构客户理财的本金及收益（如有）的具体到账账户、到账日及到账时间以代销机构划付规定为准。</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客户到期/终止每笔本金及收益金额=每笔认购份额*到期/终止日的份额净值，金额计算保留到小数点后</w:t>
            </w:r>
            <w:r>
              <w:rPr>
                <w:rFonts w:ascii="仿宋" w:hAnsi="仿宋" w:eastAsia="仿宋"/>
                <w:bCs/>
                <w:szCs w:val="21"/>
                <w:highlight w:val="none"/>
              </w:rPr>
              <w:t>2</w:t>
            </w:r>
            <w:r>
              <w:rPr>
                <w:rFonts w:hint="eastAsia" w:ascii="仿宋" w:hAnsi="仿宋" w:eastAsia="仿宋"/>
                <w:bCs/>
                <w:szCs w:val="21"/>
                <w:highlight w:val="none"/>
              </w:rPr>
              <w:t>位，小数点后第</w:t>
            </w:r>
            <w:r>
              <w:rPr>
                <w:rFonts w:ascii="仿宋" w:hAnsi="仿宋" w:eastAsia="仿宋"/>
                <w:bCs/>
                <w:szCs w:val="21"/>
                <w:highlight w:val="none"/>
              </w:rPr>
              <w:t>3</w:t>
            </w:r>
            <w:r>
              <w:rPr>
                <w:rFonts w:hint="eastAsia" w:ascii="仿宋" w:hAnsi="仿宋" w:eastAsia="仿宋"/>
                <w:bCs/>
                <w:szCs w:val="21"/>
                <w:highlight w:val="none"/>
              </w:rPr>
              <w:t>位四舍五入。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发行范围</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jc w:val="left"/>
              <w:textAlignment w:val="auto"/>
              <w:rPr>
                <w:highlight w:val="none"/>
              </w:rPr>
            </w:pPr>
            <w:r>
              <w:rPr>
                <w:rFonts w:hint="eastAsia" w:ascii="仿宋" w:hAnsi="仿宋" w:eastAsia="仿宋"/>
                <w:bCs/>
                <w:color w:val="000000"/>
                <w:szCs w:val="21"/>
                <w:highlight w:val="none"/>
              </w:rPr>
              <w:t>面向全国发行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发行规模</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eastAsia="仿宋"/>
                <w:highlight w:val="none"/>
                <w:lang w:eastAsia="zh-CN"/>
              </w:rPr>
            </w:pPr>
            <w:r>
              <w:rPr>
                <w:rFonts w:hint="eastAsia" w:ascii="仿宋" w:hAnsi="仿宋" w:eastAsia="仿宋"/>
                <w:bCs/>
                <w:szCs w:val="21"/>
                <w:highlight w:val="none"/>
              </w:rPr>
              <w:t>本产品计划发行规模下限为2,000万元。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产品</w:t>
            </w:r>
            <w:r>
              <w:rPr>
                <w:rFonts w:hint="eastAsia" w:ascii="仿宋" w:hAnsi="仿宋" w:eastAsia="仿宋"/>
                <w:bCs/>
                <w:szCs w:val="21"/>
                <w:highlight w:val="none"/>
              </w:rPr>
              <w:t>不</w:t>
            </w:r>
            <w:r>
              <w:rPr>
                <w:rFonts w:ascii="仿宋" w:hAnsi="仿宋" w:eastAsia="仿宋"/>
                <w:bCs/>
                <w:szCs w:val="21"/>
                <w:highlight w:val="none"/>
              </w:rPr>
              <w:t>成立</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
                <w:bCs/>
                <w:szCs w:val="21"/>
                <w:highlight w:val="none"/>
              </w:rPr>
            </w:pPr>
            <w:r>
              <w:rPr>
                <w:rFonts w:hint="eastAsia" w:ascii="仿宋" w:hAnsi="仿宋" w:eastAsia="仿宋"/>
                <w:b/>
                <w:bCs/>
                <w:szCs w:val="21"/>
                <w:highlight w:val="none"/>
              </w:rPr>
              <w:t>募集期结束，如理财产品募集总金额未达到发行规模下限；或者市场发生重大变化</w:t>
            </w:r>
            <w:r>
              <w:rPr>
                <w:rFonts w:hint="eastAsia" w:ascii="仿宋" w:hAnsi="仿宋" w:eastAsia="仿宋"/>
                <w:b/>
                <w:bCs/>
                <w:szCs w:val="21"/>
                <w:highlight w:val="none"/>
                <w:lang w:eastAsia="zh-CN"/>
              </w:rPr>
              <w:t>、</w:t>
            </w:r>
            <w:r>
              <w:rPr>
                <w:rFonts w:hint="eastAsia" w:ascii="仿宋" w:hAnsi="仿宋" w:eastAsia="仿宋"/>
                <w:b/>
                <w:bCs/>
                <w:szCs w:val="21"/>
                <w:highlight w:val="none"/>
                <w:lang w:val="en-US" w:eastAsia="zh-CN"/>
              </w:rPr>
              <w:t>募集期内市场出现剧烈波动的</w:t>
            </w:r>
            <w:r>
              <w:rPr>
                <w:rFonts w:hint="eastAsia" w:ascii="仿宋" w:hAnsi="仿宋" w:eastAsia="仿宋"/>
                <w:b/>
                <w:bCs/>
                <w:szCs w:val="21"/>
                <w:highlight w:val="none"/>
              </w:rPr>
              <w:t>，华夏理财无法或者经其合理判断难以按照本产品说明书向投资者提供本理财产品；</w:t>
            </w:r>
            <w:r>
              <w:rPr>
                <w:rFonts w:hint="eastAsia" w:ascii="仿宋" w:hAnsi="仿宋" w:eastAsia="仿宋"/>
                <w:b/>
                <w:bCs/>
                <w:szCs w:val="21"/>
                <w:highlight w:val="none"/>
                <w:lang w:val="en-US" w:eastAsia="zh-CN"/>
              </w:rPr>
              <w:t>或其他非管理人的原因导致本理财产品无法投资于理财产品合同所约定的投资范围；</w:t>
            </w:r>
            <w:r>
              <w:rPr>
                <w:rFonts w:hint="eastAsia" w:ascii="仿宋" w:hAnsi="仿宋" w:eastAsia="仿宋"/>
                <w:b/>
                <w:bCs/>
                <w:szCs w:val="21"/>
                <w:highlight w:val="none"/>
              </w:rPr>
              <w:t>或者法律法规、监管规定、国家政策发生变化导致无法按照本产品说明书向投资者提供本理财产品，</w:t>
            </w:r>
            <w:r>
              <w:rPr>
                <w:rFonts w:hint="eastAsia" w:ascii="仿宋" w:hAnsi="仿宋" w:eastAsia="仿宋"/>
                <w:b/>
                <w:bCs/>
                <w:szCs w:val="21"/>
                <w:highlight w:val="none"/>
                <w:lang w:val="en-US" w:eastAsia="zh-CN"/>
              </w:rPr>
              <w:t>或发生其他导致本理财产品难以成立的原因的，经管理人谨慎合理判断难以按照理财产品合同约定向投资者提供本理财产品，</w:t>
            </w:r>
            <w:r>
              <w:rPr>
                <w:rFonts w:hint="eastAsia" w:ascii="仿宋" w:hAnsi="仿宋" w:eastAsia="仿宋"/>
                <w:b/>
                <w:bCs/>
                <w:szCs w:val="21"/>
                <w:highlight w:val="none"/>
              </w:rPr>
              <w:t>华夏理财有权宣布本理财产品不成立。</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ascii="仿宋" w:hAnsi="仿宋" w:eastAsia="仿宋"/>
                <w:bCs/>
                <w:szCs w:val="21"/>
                <w:highlight w:val="none"/>
              </w:rPr>
              <w:t>如理财产品不成立，华夏</w:t>
            </w:r>
            <w:r>
              <w:rPr>
                <w:rFonts w:hint="eastAsia" w:ascii="仿宋" w:hAnsi="仿宋" w:eastAsia="仿宋"/>
                <w:bCs/>
                <w:szCs w:val="21"/>
                <w:highlight w:val="none"/>
              </w:rPr>
              <w:t>理财</w:t>
            </w:r>
            <w:r>
              <w:rPr>
                <w:rFonts w:ascii="仿宋" w:hAnsi="仿宋" w:eastAsia="仿宋"/>
                <w:bCs/>
                <w:szCs w:val="21"/>
                <w:highlight w:val="none"/>
              </w:rPr>
              <w:t>将于</w:t>
            </w:r>
            <w:r>
              <w:rPr>
                <w:rFonts w:hint="eastAsia" w:ascii="仿宋" w:hAnsi="仿宋" w:eastAsia="仿宋"/>
                <w:bCs/>
                <w:szCs w:val="21"/>
                <w:highlight w:val="none"/>
              </w:rPr>
              <w:t>原定成立日后2</w:t>
            </w:r>
            <w:r>
              <w:rPr>
                <w:rFonts w:ascii="仿宋" w:hAnsi="仿宋" w:eastAsia="仿宋"/>
                <w:bCs/>
                <w:szCs w:val="21"/>
                <w:highlight w:val="none"/>
              </w:rPr>
              <w:t>个工作日</w:t>
            </w:r>
            <w:r>
              <w:rPr>
                <w:rFonts w:hint="eastAsia" w:ascii="仿宋" w:hAnsi="仿宋" w:eastAsia="仿宋"/>
                <w:bCs/>
                <w:szCs w:val="21"/>
                <w:highlight w:val="none"/>
              </w:rPr>
              <w:t>内</w:t>
            </w:r>
            <w:r>
              <w:rPr>
                <w:rFonts w:ascii="仿宋" w:hAnsi="仿宋" w:eastAsia="仿宋"/>
                <w:bCs/>
                <w:szCs w:val="21"/>
                <w:highlight w:val="none"/>
              </w:rPr>
              <w:t>通过</w:t>
            </w:r>
            <w:r>
              <w:rPr>
                <w:rFonts w:hint="eastAsia" w:ascii="仿宋" w:hAnsi="仿宋" w:eastAsia="仿宋"/>
                <w:bCs/>
                <w:szCs w:val="21"/>
                <w:highlight w:val="none"/>
              </w:rPr>
              <w:t>本产品说明书约定的信息披露渠道</w:t>
            </w:r>
            <w:r>
              <w:rPr>
                <w:rFonts w:ascii="仿宋" w:hAnsi="仿宋" w:eastAsia="仿宋"/>
                <w:bCs/>
                <w:szCs w:val="21"/>
                <w:highlight w:val="none"/>
              </w:rPr>
              <w:t>发布本理财产品不成立的公告</w:t>
            </w:r>
            <w:r>
              <w:rPr>
                <w:rFonts w:hint="eastAsia"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通过华夏理财购买的，将</w:t>
            </w:r>
            <w:r>
              <w:rPr>
                <w:rFonts w:ascii="仿宋" w:hAnsi="仿宋" w:eastAsia="仿宋"/>
                <w:bCs/>
                <w:szCs w:val="21"/>
                <w:highlight w:val="none"/>
              </w:rPr>
              <w:t>于原定成立日</w:t>
            </w:r>
            <w:r>
              <w:rPr>
                <w:rFonts w:hint="eastAsia" w:ascii="仿宋" w:hAnsi="仿宋" w:eastAsia="仿宋"/>
                <w:bCs/>
                <w:szCs w:val="21"/>
                <w:highlight w:val="none"/>
              </w:rPr>
              <w:t>后</w:t>
            </w:r>
            <w:r>
              <w:rPr>
                <w:rFonts w:hint="eastAsia" w:ascii="仿宋" w:hAnsi="仿宋" w:eastAsia="仿宋"/>
                <w:bCs/>
                <w:color w:val="000000"/>
                <w:szCs w:val="21"/>
                <w:highlight w:val="none"/>
                <w:u w:val="none"/>
              </w:rPr>
              <w:t>2</w:t>
            </w:r>
            <w:r>
              <w:rPr>
                <w:rFonts w:ascii="仿宋" w:hAnsi="仿宋" w:eastAsia="仿宋"/>
                <w:bCs/>
                <w:szCs w:val="21"/>
                <w:highlight w:val="none"/>
              </w:rPr>
              <w:t>个</w:t>
            </w:r>
            <w:r>
              <w:rPr>
                <w:rFonts w:ascii="仿宋" w:hAnsi="仿宋" w:eastAsia="仿宋"/>
                <w:bCs/>
                <w:szCs w:val="21"/>
                <w:highlight w:val="none"/>
              </w:rPr>
              <w:t>工作日内将已</w:t>
            </w:r>
            <w:r>
              <w:rPr>
                <w:rFonts w:hint="eastAsia" w:ascii="仿宋" w:hAnsi="仿宋" w:eastAsia="仿宋"/>
                <w:bCs/>
                <w:szCs w:val="21"/>
                <w:highlight w:val="none"/>
              </w:rPr>
              <w:t>募集</w:t>
            </w:r>
            <w:r>
              <w:rPr>
                <w:rFonts w:ascii="仿宋" w:hAnsi="仿宋" w:eastAsia="仿宋"/>
                <w:bCs/>
                <w:szCs w:val="21"/>
                <w:highlight w:val="none"/>
              </w:rPr>
              <w:t>资金</w:t>
            </w:r>
            <w:r>
              <w:rPr>
                <w:rFonts w:hint="eastAsia" w:ascii="仿宋" w:hAnsi="仿宋" w:eastAsia="仿宋"/>
                <w:bCs/>
                <w:szCs w:val="21"/>
                <w:highlight w:val="none"/>
              </w:rPr>
              <w:t>退</w:t>
            </w:r>
            <w:r>
              <w:rPr>
                <w:rFonts w:ascii="仿宋" w:hAnsi="仿宋" w:eastAsia="仿宋"/>
                <w:bCs/>
                <w:szCs w:val="21"/>
                <w:highlight w:val="none"/>
              </w:rPr>
              <w:t>回</w:t>
            </w:r>
            <w:r>
              <w:rPr>
                <w:rFonts w:hint="eastAsia" w:ascii="仿宋" w:hAnsi="仿宋" w:eastAsia="仿宋"/>
                <w:bCs/>
                <w:szCs w:val="21"/>
                <w:highlight w:val="none"/>
              </w:rPr>
              <w:t>华夏理财客户的理财签约</w:t>
            </w:r>
            <w:r>
              <w:rPr>
                <w:rFonts w:ascii="仿宋" w:hAnsi="仿宋" w:eastAsia="仿宋"/>
                <w:bCs/>
                <w:szCs w:val="21"/>
                <w:highlight w:val="none"/>
              </w:rPr>
              <w:t>账户</w:t>
            </w:r>
            <w:r>
              <w:rPr>
                <w:rFonts w:hint="eastAsia"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通过其他代销机构购买的，客户已募集资金退回的具体到账账户、到账日及到账时间以代销机构划付规定为准。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认购起点金额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highlight w:val="none"/>
              </w:rPr>
              <w:t>1元, 以1元的整数倍递增。</w:t>
            </w:r>
          </w:p>
          <w:p>
            <w:pPr>
              <w:keepNext w:val="0"/>
              <w:keepLines w:val="0"/>
              <w:pageBreakBefore w:val="0"/>
              <w:widowControl w:val="0"/>
              <w:kinsoku/>
              <w:wordWrap/>
              <w:overflowPunct/>
              <w:topLinePunct w:val="0"/>
              <w:autoSpaceDE/>
              <w:autoSpaceDN/>
              <w:bidi w:val="0"/>
              <w:adjustRightInd/>
              <w:snapToGrid/>
              <w:spacing w:line="300" w:lineRule="atLeast"/>
              <w:ind w:firstLine="420" w:firstLineChars="200"/>
              <w:jc w:val="both"/>
              <w:textAlignment w:val="auto"/>
              <w:rPr>
                <w:rFonts w:ascii="仿宋" w:hAnsi="仿宋" w:eastAsia="仿宋"/>
                <w:highlight w:val="none"/>
              </w:rPr>
            </w:pPr>
            <w:r>
              <w:rPr>
                <w:rFonts w:hint="eastAsia" w:ascii="仿宋" w:hAnsi="仿宋" w:eastAsia="仿宋"/>
                <w:highlight w:val="none"/>
              </w:rPr>
              <w:t>如代销机构规定与本规则不一致，则以各代销机构规定为准，但不得低于本条款约定的金额。</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具体详见“五、认购”。</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认购</w:t>
            </w:r>
            <w:r>
              <w:rPr>
                <w:rFonts w:hint="eastAsia" w:ascii="仿宋" w:hAnsi="仿宋" w:eastAsia="仿宋"/>
                <w:bCs/>
                <w:szCs w:val="21"/>
                <w:highlight w:val="none"/>
              </w:rPr>
              <w:t>最高金额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highlight w:val="none"/>
              </w:rPr>
              <w:t>最高持有限额要求:单一投资者持有本产品不得超过本产品份额总数的50%。</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highlight w:val="none"/>
              </w:rPr>
              <w:t>如代销机构规定与本规则不一致，则以各代销机构规定为准，但不得</w:t>
            </w:r>
            <w:r>
              <w:rPr>
                <w:rFonts w:hint="eastAsia" w:ascii="仿宋" w:hAnsi="仿宋" w:eastAsia="仿宋"/>
                <w:bCs/>
                <w:szCs w:val="21"/>
                <w:highlight w:val="none"/>
              </w:rPr>
              <w:t>高于</w:t>
            </w:r>
            <w:r>
              <w:rPr>
                <w:rFonts w:hint="eastAsia" w:ascii="仿宋" w:hAnsi="仿宋" w:eastAsia="仿宋"/>
                <w:highlight w:val="none"/>
              </w:rPr>
              <w:t>本条款约定的</w:t>
            </w:r>
            <w:r>
              <w:rPr>
                <w:rFonts w:hint="eastAsia" w:ascii="仿宋" w:hAnsi="仿宋" w:eastAsia="仿宋"/>
                <w:bCs/>
                <w:szCs w:val="21"/>
                <w:highlight w:val="none"/>
              </w:rPr>
              <w:t>金额</w:t>
            </w:r>
            <w:r>
              <w:rPr>
                <w:rFonts w:hint="eastAsia" w:ascii="仿宋" w:hAnsi="仿宋" w:eastAsia="仿宋"/>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追加</w:t>
            </w:r>
            <w:r>
              <w:rPr>
                <w:rFonts w:hint="eastAsia" w:ascii="仿宋" w:hAnsi="仿宋" w:eastAsia="仿宋"/>
                <w:bCs/>
                <w:szCs w:val="21"/>
                <w:highlight w:val="none"/>
              </w:rPr>
              <w:t>认</w:t>
            </w:r>
            <w:r>
              <w:rPr>
                <w:rFonts w:ascii="仿宋" w:hAnsi="仿宋" w:eastAsia="仿宋"/>
                <w:bCs/>
                <w:szCs w:val="21"/>
                <w:highlight w:val="none"/>
              </w:rPr>
              <w:t>购</w:t>
            </w:r>
          </w:p>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最低金额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highlight w:val="none"/>
              </w:rPr>
              <w:t>1元, 以1元的整数倍追加。</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highlight w:val="none"/>
              </w:rPr>
              <w:t>如代销机构规定与本规则不一致，则以各代销机构规定为准，但不得低于本条款约定的金额。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认购份额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认购份额=认购金额/1元。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认购申请拒绝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val="0"/>
              <w:tabs>
                <w:tab w:val="left" w:pos="720"/>
              </w:tabs>
              <w:kinsoku/>
              <w:wordWrap/>
              <w:overflowPunct/>
              <w:topLinePunct w:val="0"/>
              <w:autoSpaceDE/>
              <w:autoSpaceDN/>
              <w:bidi w:val="0"/>
              <w:adjustRightInd/>
              <w:snapToGrid/>
              <w:spacing w:line="300" w:lineRule="atLeast"/>
              <w:ind w:right="18" w:firstLine="420"/>
              <w:jc w:val="both"/>
              <w:textAlignment w:val="auto"/>
              <w:rPr>
                <w:rFonts w:ascii="仿宋" w:hAnsi="仿宋" w:eastAsia="仿宋"/>
                <w:bCs/>
                <w:szCs w:val="21"/>
                <w:highlight w:val="none"/>
              </w:rPr>
            </w:pPr>
            <w:r>
              <w:rPr>
                <w:rFonts w:hint="eastAsia" w:ascii="仿宋" w:hAnsi="仿宋" w:eastAsia="仿宋"/>
                <w:bCs/>
                <w:szCs w:val="21"/>
                <w:highlight w:val="none"/>
              </w:rPr>
              <w:t>本理财产品可根据市场情况设置或调整产品规模上限，若本理财产品募集金额达到理财产品规模上限：</w:t>
            </w:r>
          </w:p>
          <w:p>
            <w:pPr>
              <w:keepNext/>
              <w:keepLines w:val="0"/>
              <w:pageBreakBefore w:val="0"/>
              <w:widowControl w:val="0"/>
              <w:tabs>
                <w:tab w:val="left" w:pos="720"/>
              </w:tabs>
              <w:kinsoku/>
              <w:wordWrap/>
              <w:overflowPunct/>
              <w:topLinePunct w:val="0"/>
              <w:autoSpaceDE/>
              <w:autoSpaceDN/>
              <w:bidi w:val="0"/>
              <w:adjustRightInd/>
              <w:snapToGrid/>
              <w:spacing w:line="300" w:lineRule="atLeast"/>
              <w:ind w:firstLine="422"/>
              <w:jc w:val="both"/>
              <w:textAlignment w:val="auto"/>
              <w:rPr>
                <w:rFonts w:ascii="仿宋" w:hAnsi="仿宋" w:eastAsia="仿宋"/>
                <w:b/>
                <w:szCs w:val="21"/>
                <w:highlight w:val="none"/>
              </w:rPr>
            </w:pPr>
            <w:r>
              <w:rPr>
                <w:rFonts w:hint="eastAsia" w:ascii="仿宋" w:hAnsi="仿宋" w:eastAsia="仿宋"/>
                <w:b/>
                <w:bCs/>
                <w:szCs w:val="21"/>
                <w:highlight w:val="none"/>
              </w:rPr>
              <w:t>华夏理财有权在成立日采取比例确认等方式对认购申请给予部分确认。</w:t>
            </w:r>
            <w:r>
              <w:rPr>
                <w:rFonts w:hint="eastAsia" w:ascii="仿宋" w:hAnsi="仿宋" w:eastAsia="仿宋"/>
                <w:b/>
                <w:szCs w:val="21"/>
                <w:highlight w:val="none"/>
              </w:rPr>
              <w:t>华夏理财认为接受大额认购申请可能会影响或损害理财产品投资者权益时，有权拒绝或暂停该认购申请。</w:t>
            </w:r>
          </w:p>
          <w:p>
            <w:pPr>
              <w:keepNext/>
              <w:keepLines w:val="0"/>
              <w:pageBreakBefore w:val="0"/>
              <w:widowControl w:val="0"/>
              <w:tabs>
                <w:tab w:val="left" w:pos="720"/>
              </w:tabs>
              <w:kinsoku/>
              <w:wordWrap/>
              <w:overflowPunct/>
              <w:topLinePunct w:val="0"/>
              <w:autoSpaceDE/>
              <w:autoSpaceDN/>
              <w:bidi w:val="0"/>
              <w:adjustRightInd/>
              <w:snapToGrid/>
              <w:spacing w:line="300" w:lineRule="atLeast"/>
              <w:ind w:right="18" w:firstLine="420"/>
              <w:jc w:val="both"/>
              <w:textAlignment w:val="auto"/>
              <w:rPr>
                <w:highlight w:val="none"/>
              </w:rPr>
            </w:pPr>
            <w:r>
              <w:rPr>
                <w:rFonts w:hint="eastAsia" w:ascii="仿宋" w:hAnsi="仿宋" w:eastAsia="仿宋"/>
                <w:bCs/>
                <w:szCs w:val="21"/>
                <w:highlight w:val="none"/>
              </w:rPr>
              <w:t>若因超过产品规模上限,华夏理财拒绝或部分接受投资者的认购</w:t>
            </w:r>
            <w:r>
              <w:rPr>
                <w:rFonts w:ascii="仿宋" w:hAnsi="仿宋" w:eastAsia="仿宋"/>
                <w:bCs/>
                <w:szCs w:val="21"/>
                <w:highlight w:val="none"/>
              </w:rPr>
              <w:t>申请时，</w:t>
            </w:r>
            <w:r>
              <w:rPr>
                <w:rFonts w:hint="eastAsia" w:ascii="仿宋" w:hAnsi="仿宋" w:eastAsia="仿宋"/>
                <w:bCs/>
                <w:szCs w:val="21"/>
                <w:highlight w:val="none"/>
              </w:rPr>
              <w:t>华夏理财将于3个</w:t>
            </w:r>
            <w:r>
              <w:rPr>
                <w:rFonts w:ascii="仿宋" w:hAnsi="仿宋" w:eastAsia="仿宋"/>
                <w:bCs/>
                <w:szCs w:val="21"/>
                <w:highlight w:val="none"/>
              </w:rPr>
              <w:t>工作日</w:t>
            </w:r>
            <w:r>
              <w:rPr>
                <w:rFonts w:hint="eastAsia" w:ascii="仿宋" w:hAnsi="仿宋" w:eastAsia="仿宋"/>
                <w:bCs/>
                <w:szCs w:val="21"/>
                <w:highlight w:val="none"/>
              </w:rPr>
              <w:t>内</w:t>
            </w:r>
            <w:r>
              <w:rPr>
                <w:rFonts w:ascii="仿宋" w:hAnsi="仿宋" w:eastAsia="仿宋"/>
                <w:bCs/>
                <w:szCs w:val="21"/>
                <w:highlight w:val="none"/>
              </w:rPr>
              <w:t>通过</w:t>
            </w:r>
            <w:r>
              <w:rPr>
                <w:rFonts w:hint="eastAsia" w:ascii="仿宋" w:hAnsi="仿宋" w:eastAsia="仿宋"/>
                <w:bCs/>
                <w:szCs w:val="21"/>
                <w:highlight w:val="none"/>
              </w:rPr>
              <w:t>本产品说明书约定的信息披露渠道</w:t>
            </w:r>
            <w:r>
              <w:rPr>
                <w:rFonts w:ascii="仿宋" w:hAnsi="仿宋" w:eastAsia="仿宋"/>
                <w:bCs/>
                <w:szCs w:val="21"/>
                <w:highlight w:val="none"/>
              </w:rPr>
              <w:t>披露</w:t>
            </w:r>
            <w:r>
              <w:rPr>
                <w:rFonts w:hint="eastAsia" w:ascii="仿宋" w:hAnsi="仿宋" w:eastAsia="仿宋"/>
                <w:bCs/>
                <w:szCs w:val="21"/>
                <w:highlight w:val="none"/>
              </w:rPr>
              <w:t>相应</w:t>
            </w:r>
            <w:r>
              <w:rPr>
                <w:rFonts w:ascii="仿宋" w:hAnsi="仿宋" w:eastAsia="仿宋"/>
                <w:bCs/>
                <w:szCs w:val="21"/>
                <w:highlight w:val="none"/>
              </w:rPr>
              <w:t>信息</w:t>
            </w:r>
            <w:r>
              <w:rPr>
                <w:rFonts w:hint="eastAsia" w:ascii="仿宋" w:hAnsi="仿宋" w:eastAsia="仿宋"/>
                <w:bCs/>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认购撤销规定</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投资者可撤销已提交的认购申请，具体规定如下：</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lang w:eastAsia="zh-CN"/>
              </w:rPr>
              <w:t>（</w:t>
            </w:r>
            <w:r>
              <w:rPr>
                <w:rFonts w:hint="eastAsia" w:ascii="仿宋" w:hAnsi="仿宋" w:eastAsia="仿宋"/>
                <w:bCs/>
                <w:szCs w:val="21"/>
                <w:highlight w:val="none"/>
                <w:lang w:val="en-US" w:eastAsia="zh-CN"/>
              </w:rPr>
              <w:t>1</w:t>
            </w:r>
            <w:r>
              <w:rPr>
                <w:rFonts w:hint="eastAsia" w:ascii="仿宋" w:hAnsi="仿宋" w:eastAsia="仿宋"/>
                <w:bCs/>
                <w:szCs w:val="21"/>
                <w:highlight w:val="none"/>
                <w:lang w:eastAsia="zh-CN"/>
              </w:rPr>
              <w:t>）</w:t>
            </w:r>
            <w:r>
              <w:rPr>
                <w:rFonts w:hint="eastAsia" w:ascii="仿宋" w:hAnsi="仿宋" w:eastAsia="仿宋"/>
                <w:bCs/>
                <w:szCs w:val="21"/>
                <w:highlight w:val="none"/>
              </w:rPr>
              <w:t>只能全额撤销。</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lang w:eastAsia="zh-CN"/>
              </w:rPr>
              <w:t>（</w:t>
            </w:r>
            <w:r>
              <w:rPr>
                <w:rFonts w:hint="eastAsia" w:ascii="仿宋" w:hAnsi="仿宋" w:eastAsia="仿宋"/>
                <w:bCs/>
                <w:szCs w:val="21"/>
                <w:highlight w:val="none"/>
                <w:lang w:val="en-US" w:eastAsia="zh-CN"/>
              </w:rPr>
              <w:t>2</w:t>
            </w:r>
            <w:r>
              <w:rPr>
                <w:rFonts w:hint="eastAsia" w:ascii="仿宋" w:hAnsi="仿宋" w:eastAsia="仿宋"/>
                <w:bCs/>
                <w:szCs w:val="21"/>
                <w:highlight w:val="none"/>
                <w:lang w:eastAsia="zh-CN"/>
              </w:rPr>
              <w:t>）</w:t>
            </w:r>
            <w:r>
              <w:rPr>
                <w:rFonts w:hint="eastAsia" w:ascii="仿宋" w:hAnsi="仿宋" w:eastAsia="仿宋"/>
                <w:bCs/>
                <w:szCs w:val="21"/>
                <w:highlight w:val="none"/>
              </w:rPr>
              <w:t>通过华夏理财认购的，投资者撤销的本金在</w:t>
            </w:r>
            <w:r>
              <w:rPr>
                <w:rFonts w:hint="eastAsia" w:ascii="仿宋" w:hAnsi="仿宋" w:eastAsia="仿宋"/>
                <w:bCs/>
                <w:color w:val="000000"/>
                <w:szCs w:val="21"/>
                <w:highlight w:val="none"/>
                <w:u w:val="none"/>
              </w:rPr>
              <w:t>2</w:t>
            </w:r>
            <w:r>
              <w:rPr>
                <w:rFonts w:ascii="仿宋" w:hAnsi="仿宋" w:eastAsia="仿宋"/>
                <w:bCs/>
                <w:szCs w:val="21"/>
                <w:highlight w:val="none"/>
              </w:rPr>
              <w:t>个工作日内</w:t>
            </w:r>
            <w:r>
              <w:rPr>
                <w:rFonts w:hint="eastAsia" w:ascii="仿宋" w:hAnsi="仿宋" w:eastAsia="仿宋"/>
                <w:bCs/>
                <w:szCs w:val="21"/>
                <w:highlight w:val="none"/>
              </w:rPr>
              <w:t>到账。</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ascii="仿宋" w:hAnsi="仿宋" w:eastAsia="仿宋"/>
                <w:bCs/>
                <w:szCs w:val="21"/>
                <w:highlight w:val="none"/>
              </w:rPr>
              <w:t>（</w:t>
            </w:r>
            <w:r>
              <w:rPr>
                <w:rFonts w:hint="eastAsia" w:ascii="仿宋" w:hAnsi="仿宋" w:eastAsia="仿宋"/>
                <w:bCs/>
                <w:szCs w:val="21"/>
                <w:highlight w:val="none"/>
                <w:lang w:val="en-US" w:eastAsia="zh-CN"/>
              </w:rPr>
              <w:t>3</w:t>
            </w:r>
            <w:r>
              <w:rPr>
                <w:rFonts w:hint="eastAsia" w:ascii="仿宋" w:hAnsi="仿宋" w:eastAsia="仿宋"/>
                <w:bCs/>
                <w:szCs w:val="21"/>
                <w:highlight w:val="none"/>
              </w:rPr>
              <w:t>）通过华夏理财认购的</w:t>
            </w:r>
            <w:r>
              <w:rPr>
                <w:rFonts w:ascii="仿宋" w:hAnsi="仿宋" w:eastAsia="仿宋"/>
                <w:bCs/>
                <w:szCs w:val="21"/>
                <w:highlight w:val="none"/>
              </w:rPr>
              <w:t>，</w:t>
            </w:r>
            <w:r>
              <w:rPr>
                <w:rFonts w:hint="eastAsia" w:ascii="仿宋" w:hAnsi="仿宋" w:eastAsia="仿宋"/>
                <w:bCs/>
                <w:szCs w:val="21"/>
                <w:highlight w:val="none"/>
                <w:u w:val="none"/>
                <w:lang w:val="en-US" w:eastAsia="zh-CN"/>
              </w:rPr>
              <w:t>募集期最后一日17:30</w:t>
            </w:r>
            <w:r>
              <w:rPr>
                <w:rFonts w:hint="eastAsia" w:ascii="仿宋" w:hAnsi="仿宋" w:eastAsia="仿宋"/>
                <w:highlight w:val="none"/>
              </w:rPr>
              <w:t>（含）之后</w:t>
            </w:r>
            <w:r>
              <w:rPr>
                <w:rFonts w:hint="eastAsia" w:ascii="仿宋" w:hAnsi="仿宋" w:eastAsia="仿宋"/>
                <w:bCs/>
                <w:szCs w:val="21"/>
                <w:highlight w:val="none"/>
              </w:rPr>
              <w:t>不能进行撤销。</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lang w:eastAsia="zh-CN"/>
              </w:rPr>
              <w:t>（</w:t>
            </w:r>
            <w:r>
              <w:rPr>
                <w:rFonts w:hint="eastAsia" w:ascii="仿宋" w:hAnsi="仿宋" w:eastAsia="仿宋"/>
                <w:bCs/>
                <w:szCs w:val="21"/>
                <w:highlight w:val="none"/>
                <w:lang w:val="en-US" w:eastAsia="zh-CN"/>
              </w:rPr>
              <w:t>4</w:t>
            </w:r>
            <w:r>
              <w:rPr>
                <w:rFonts w:hint="eastAsia" w:ascii="仿宋" w:hAnsi="仿宋" w:eastAsia="仿宋"/>
                <w:bCs/>
                <w:szCs w:val="21"/>
                <w:highlight w:val="none"/>
                <w:lang w:eastAsia="zh-CN"/>
              </w:rPr>
              <w:t>）</w:t>
            </w:r>
            <w:r>
              <w:rPr>
                <w:rFonts w:hint="eastAsia" w:ascii="仿宋" w:hAnsi="仿宋" w:eastAsia="仿宋"/>
                <w:bCs/>
                <w:szCs w:val="21"/>
                <w:highlight w:val="none"/>
              </w:rPr>
              <w:t>通过</w:t>
            </w:r>
            <w:r>
              <w:rPr>
                <w:rFonts w:hint="eastAsia" w:ascii="仿宋" w:hAnsi="仿宋" w:eastAsia="仿宋"/>
                <w:bCs/>
                <w:szCs w:val="21"/>
                <w:highlight w:val="none"/>
                <w:lang w:val="en-US" w:eastAsia="zh-CN"/>
              </w:rPr>
              <w:t>其他</w:t>
            </w:r>
            <w:r>
              <w:rPr>
                <w:rFonts w:hint="eastAsia" w:ascii="仿宋" w:hAnsi="仿宋" w:eastAsia="仿宋"/>
                <w:bCs/>
                <w:szCs w:val="21"/>
                <w:highlight w:val="none"/>
              </w:rPr>
              <w:t>代销机构认购的，撤销规定以代销机构规定为准。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3"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投资冷静期</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u w:val="none"/>
                <w:lang w:val="en-US" w:eastAsia="zh-CN"/>
              </w:rPr>
              <w:t>本理财产品为公募理财产品，根据监管部门规定，无需设置投资冷静期。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3"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b w:val="0"/>
                <w:bCs/>
                <w:highlight w:val="none"/>
              </w:rPr>
            </w:pPr>
            <w:r>
              <w:rPr>
                <w:rFonts w:hint="eastAsia" w:ascii="仿宋" w:hAnsi="仿宋" w:eastAsia="仿宋"/>
                <w:b w:val="0"/>
                <w:bCs/>
                <w:szCs w:val="21"/>
                <w:highlight w:val="none"/>
              </w:rPr>
              <w:t>认购费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b/>
                <w:highlight w:val="none"/>
              </w:rPr>
            </w:pPr>
            <w:r>
              <w:rPr>
                <w:rFonts w:hint="eastAsia" w:ascii="仿宋" w:hAnsi="仿宋" w:eastAsia="仿宋"/>
                <w:b/>
                <w:bCs w:val="0"/>
                <w:szCs w:val="21"/>
                <w:highlight w:val="none"/>
              </w:rPr>
              <w:t>本理财产品不收取认购费。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b w:val="0"/>
                <w:bCs/>
                <w:highlight w:val="none"/>
              </w:rPr>
            </w:pPr>
            <w:r>
              <w:rPr>
                <w:rFonts w:hint="eastAsia" w:ascii="仿宋" w:hAnsi="仿宋" w:eastAsia="仿宋"/>
                <w:b w:val="0"/>
                <w:bCs/>
                <w:szCs w:val="21"/>
                <w:highlight w:val="none"/>
              </w:rPr>
              <w:t>托管费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
                <w:bCs w:val="0"/>
                <w:szCs w:val="21"/>
                <w:highlight w:val="none"/>
              </w:rPr>
            </w:pPr>
            <w:r>
              <w:rPr>
                <w:rFonts w:ascii="仿宋" w:hAnsi="仿宋" w:eastAsia="仿宋"/>
                <w:b/>
                <w:szCs w:val="21"/>
                <w:highlight w:val="none"/>
                <w:u w:val="none"/>
              </w:rPr>
              <w:t>0.03%</w:t>
            </w:r>
            <w:r>
              <w:rPr>
                <w:rFonts w:hint="eastAsia" w:ascii="仿宋" w:hAnsi="仿宋" w:eastAsia="仿宋"/>
                <w:b/>
                <w:bCs w:val="0"/>
                <w:szCs w:val="21"/>
                <w:highlight w:val="none"/>
              </w:rPr>
              <w:t>/年，以</w:t>
            </w:r>
            <w:r>
              <w:rPr>
                <w:rFonts w:ascii="仿宋" w:hAnsi="仿宋" w:eastAsia="仿宋"/>
                <w:b/>
                <w:szCs w:val="21"/>
                <w:highlight w:val="none"/>
                <w:u w:val="none"/>
              </w:rPr>
              <w:t>前一日资产净值</w:t>
            </w:r>
            <w:r>
              <w:rPr>
                <w:rFonts w:hint="eastAsia" w:ascii="仿宋" w:hAnsi="仿宋" w:eastAsia="仿宋"/>
                <w:b/>
                <w:bCs w:val="0"/>
                <w:szCs w:val="21"/>
                <w:highlight w:val="none"/>
              </w:rPr>
              <w:t>为基数，</w:t>
            </w:r>
            <w:r>
              <w:rPr>
                <w:rFonts w:ascii="仿宋" w:hAnsi="仿宋" w:eastAsia="仿宋"/>
                <w:b/>
                <w:szCs w:val="21"/>
                <w:highlight w:val="none"/>
                <w:u w:val="none"/>
              </w:rPr>
              <w:t>每日</w:t>
            </w:r>
            <w:r>
              <w:rPr>
                <w:rFonts w:hint="eastAsia" w:ascii="仿宋" w:hAnsi="仿宋" w:eastAsia="仿宋"/>
                <w:b/>
                <w:szCs w:val="21"/>
                <w:highlight w:val="none"/>
                <w:u w:val="none"/>
                <w:lang w:eastAsia="zh-CN"/>
              </w:rPr>
              <w:t>计提</w:t>
            </w:r>
            <w:r>
              <w:rPr>
                <w:rFonts w:hint="eastAsia" w:ascii="仿宋" w:hAnsi="仿宋" w:eastAsia="仿宋"/>
                <w:b/>
                <w:bCs w:val="0"/>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
                <w:bCs w:val="0"/>
                <w:szCs w:val="21"/>
                <w:highlight w:val="none"/>
              </w:rPr>
            </w:pPr>
            <w:r>
              <w:rPr>
                <w:rFonts w:hint="eastAsia" w:ascii="仿宋" w:hAnsi="仿宋" w:eastAsia="仿宋"/>
                <w:b/>
                <w:bCs w:val="0"/>
                <w:szCs w:val="21"/>
                <w:highlight w:val="none"/>
              </w:rPr>
              <w:t>公式如下：</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b/>
                <w:highlight w:val="none"/>
              </w:rPr>
            </w:pPr>
            <w:r>
              <w:rPr>
                <w:rFonts w:hint="eastAsia" w:ascii="仿宋" w:hAnsi="仿宋" w:eastAsia="仿宋"/>
                <w:b/>
                <w:bCs w:val="0"/>
                <w:szCs w:val="21"/>
                <w:highlight w:val="none"/>
              </w:rPr>
              <w:t>F=E×【</w:t>
            </w:r>
            <w:r>
              <w:rPr>
                <w:rFonts w:ascii="仿宋" w:hAnsi="仿宋" w:eastAsia="仿宋"/>
                <w:b/>
                <w:szCs w:val="21"/>
                <w:highlight w:val="none"/>
                <w:u w:val="none"/>
              </w:rPr>
              <w:t>0.03%</w:t>
            </w:r>
            <w:r>
              <w:rPr>
                <w:rFonts w:hint="eastAsia" w:ascii="仿宋" w:hAnsi="仿宋" w:eastAsia="仿宋"/>
                <w:b/>
                <w:bCs w:val="0"/>
                <w:szCs w:val="21"/>
                <w:highlight w:val="none"/>
              </w:rPr>
              <w:t>】</w:t>
            </w:r>
            <w:r>
              <w:rPr>
                <w:rFonts w:hint="eastAsia" w:ascii="仿宋" w:hAnsi="仿宋" w:eastAsia="仿宋"/>
                <w:b/>
                <w:szCs w:val="21"/>
                <w:highlight w:val="none"/>
              </w:rPr>
              <w:t>/当年天数。</w:t>
            </w:r>
            <w:r>
              <w:rPr>
                <w:rFonts w:hint="eastAsia" w:ascii="仿宋" w:hAnsi="仿宋" w:eastAsia="仿宋"/>
                <w:b/>
                <w:bCs w:val="0"/>
                <w:szCs w:val="21"/>
                <w:highlight w:val="none"/>
              </w:rPr>
              <w:t>F为托管费；E为计算</w:t>
            </w:r>
            <w:r>
              <w:rPr>
                <w:rFonts w:ascii="仿宋" w:hAnsi="仿宋" w:eastAsia="仿宋"/>
                <w:b/>
                <w:bCs w:val="0"/>
                <w:szCs w:val="21"/>
                <w:highlight w:val="none"/>
              </w:rPr>
              <w:t>基数</w:t>
            </w:r>
            <w:r>
              <w:rPr>
                <w:rFonts w:hint="eastAsia" w:ascii="仿宋" w:hAnsi="仿宋" w:eastAsia="仿宋"/>
                <w:b/>
                <w:bCs w:val="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b w:val="0"/>
                <w:bCs/>
                <w:highlight w:val="none"/>
              </w:rPr>
            </w:pPr>
            <w:r>
              <w:rPr>
                <w:rFonts w:hint="eastAsia" w:ascii="仿宋" w:hAnsi="仿宋" w:eastAsia="仿宋"/>
                <w:b w:val="0"/>
                <w:bCs/>
                <w:szCs w:val="21"/>
                <w:highlight w:val="none"/>
              </w:rPr>
              <w:t>销售手续费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
                <w:szCs w:val="21"/>
                <w:highlight w:val="none"/>
              </w:rPr>
            </w:pPr>
            <w:r>
              <w:rPr>
                <w:rFonts w:ascii="仿宋" w:hAnsi="仿宋" w:eastAsia="仿宋"/>
                <w:b/>
                <w:szCs w:val="21"/>
                <w:highlight w:val="none"/>
              </w:rPr>
              <w:t>A份额：0.30%/年，以前一日资产净值为基数，每日计提。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B份额：0.10%/年，以前一日资产净值为基数，每日计提。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C份额：0.20%/年，以前一日资产净值为基数，每日计提。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D份额：0.25%/年，以前一日资产净值为基数，每日计提。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E份额：0.30%/年，以前一日资产净值为基数，每日计提。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H份额：0.15%/年，以前一日资产净值为基数，每日计提。</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hint="eastAsia" w:eastAsia="仿宋"/>
                <w:b/>
                <w:highlight w:val="none"/>
                <w:lang w:val="en-US" w:eastAsia="zh-CN"/>
              </w:rPr>
            </w:pPr>
            <w:r>
              <w:rPr>
                <w:rFonts w:ascii="仿宋" w:hAnsi="仿宋" w:eastAsia="仿宋"/>
                <w:b/>
                <w:szCs w:val="21"/>
                <w:highlight w:val="none"/>
              </w:rPr>
              <w:t>公式如下：</w:t>
            </w:r>
            <w:r>
              <w:rPr>
                <w:rFonts w:ascii="仿宋" w:hAnsi="仿宋" w:eastAsia="仿宋"/>
                <w:b/>
                <w:szCs w:val="21"/>
                <w:highlight w:val="none"/>
              </w:rPr>
              <w:br w:type="textWrapping"/>
            </w:r>
            <w:r>
              <w:rPr>
                <w:rFonts w:ascii="仿宋" w:hAnsi="仿宋" w:eastAsia="仿宋"/>
                <w:b/>
                <w:szCs w:val="21"/>
                <w:highlight w:val="none"/>
              </w:rPr>
              <w:t xml:space="preserve">    F=E×【各份额销售手续费率】/当年天数。F为各份额销售手续费；E为计算基数。</w:t>
            </w:r>
            <w:r>
              <w:rPr>
                <w:rFonts w:ascii="仿宋" w:hAnsi="仿宋" w:eastAsia="仿宋"/>
                <w:b/>
                <w:szCs w:val="21"/>
                <w:highlight w:val="none"/>
              </w:rPr>
              <w:br w:type="textWrapping"/>
            </w:r>
            <w:r>
              <w:rPr>
                <w:rFonts w:ascii="仿宋" w:hAnsi="仿宋" w:eastAsia="仿宋"/>
                <w:b/>
                <w:szCs w:val="21"/>
                <w:highlight w:val="none"/>
              </w:rPr>
              <w:t xml:space="preserve">    （销售手续费由销售服务机构收取。）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b w:val="0"/>
                <w:bCs/>
                <w:highlight w:val="none"/>
              </w:rPr>
            </w:pPr>
            <w:r>
              <w:rPr>
                <w:rFonts w:hint="eastAsia" w:ascii="仿宋" w:hAnsi="仿宋" w:eastAsia="仿宋"/>
                <w:b w:val="0"/>
                <w:bCs/>
                <w:szCs w:val="21"/>
                <w:highlight w:val="none"/>
              </w:rPr>
              <w:t>固定管理费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
                <w:bCs w:val="0"/>
                <w:szCs w:val="21"/>
                <w:highlight w:val="none"/>
              </w:rPr>
            </w:pPr>
            <w:r>
              <w:rPr>
                <w:rFonts w:ascii="仿宋" w:hAnsi="仿宋" w:eastAsia="仿宋"/>
                <w:b/>
                <w:szCs w:val="21"/>
                <w:highlight w:val="none"/>
                <w:u w:val="none"/>
              </w:rPr>
              <w:t>0.30%</w:t>
            </w:r>
            <w:r>
              <w:rPr>
                <w:rFonts w:hint="eastAsia" w:ascii="仿宋" w:hAnsi="仿宋" w:eastAsia="仿宋"/>
                <w:b/>
                <w:bCs w:val="0"/>
                <w:szCs w:val="21"/>
                <w:highlight w:val="none"/>
              </w:rPr>
              <w:t>/年，以</w:t>
            </w:r>
            <w:r>
              <w:rPr>
                <w:rFonts w:ascii="仿宋" w:hAnsi="仿宋" w:eastAsia="仿宋"/>
                <w:b/>
                <w:szCs w:val="21"/>
                <w:highlight w:val="none"/>
                <w:u w:val="none"/>
              </w:rPr>
              <w:t>前一日资产净值</w:t>
            </w:r>
            <w:r>
              <w:rPr>
                <w:rFonts w:hint="eastAsia" w:ascii="仿宋" w:hAnsi="仿宋" w:eastAsia="仿宋"/>
                <w:b/>
                <w:bCs w:val="0"/>
                <w:szCs w:val="21"/>
                <w:highlight w:val="none"/>
              </w:rPr>
              <w:t>为基数，</w:t>
            </w:r>
            <w:r>
              <w:rPr>
                <w:rFonts w:ascii="仿宋" w:hAnsi="仿宋" w:eastAsia="仿宋"/>
                <w:b/>
                <w:szCs w:val="21"/>
                <w:highlight w:val="none"/>
                <w:u w:val="none"/>
              </w:rPr>
              <w:t>每日</w:t>
            </w:r>
            <w:r>
              <w:rPr>
                <w:rFonts w:hint="eastAsia" w:ascii="仿宋" w:hAnsi="仿宋" w:eastAsia="仿宋"/>
                <w:b/>
                <w:szCs w:val="21"/>
                <w:highlight w:val="none"/>
                <w:u w:val="none"/>
                <w:lang w:eastAsia="zh-CN"/>
              </w:rPr>
              <w:t>计提</w:t>
            </w:r>
            <w:r>
              <w:rPr>
                <w:rFonts w:hint="eastAsia" w:ascii="仿宋" w:hAnsi="仿宋" w:eastAsia="仿宋"/>
                <w:b/>
                <w:bCs w:val="0"/>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
                <w:bCs w:val="0"/>
                <w:szCs w:val="21"/>
                <w:highlight w:val="none"/>
              </w:rPr>
            </w:pPr>
            <w:r>
              <w:rPr>
                <w:rFonts w:hint="eastAsia" w:ascii="仿宋" w:hAnsi="仿宋" w:eastAsia="仿宋"/>
                <w:b/>
                <w:bCs w:val="0"/>
                <w:szCs w:val="21"/>
                <w:highlight w:val="none"/>
              </w:rPr>
              <w:t>公式如下：</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b/>
                <w:highlight w:val="none"/>
              </w:rPr>
            </w:pPr>
            <w:r>
              <w:rPr>
                <w:rFonts w:hint="eastAsia" w:ascii="仿宋" w:hAnsi="仿宋" w:eastAsia="仿宋"/>
                <w:b/>
                <w:bCs w:val="0"/>
                <w:szCs w:val="21"/>
                <w:highlight w:val="none"/>
              </w:rPr>
              <w:t>F=E×【</w:t>
            </w:r>
            <w:r>
              <w:rPr>
                <w:rFonts w:ascii="仿宋" w:hAnsi="仿宋" w:eastAsia="仿宋"/>
                <w:b/>
                <w:szCs w:val="21"/>
                <w:highlight w:val="none"/>
                <w:u w:val="none"/>
              </w:rPr>
              <w:t>0.30%</w:t>
            </w:r>
            <w:r>
              <w:rPr>
                <w:rFonts w:hint="eastAsia" w:ascii="仿宋" w:hAnsi="仿宋" w:eastAsia="仿宋"/>
                <w:b/>
                <w:bCs w:val="0"/>
                <w:szCs w:val="21"/>
                <w:highlight w:val="none"/>
              </w:rPr>
              <w:t>】</w:t>
            </w:r>
            <w:r>
              <w:rPr>
                <w:rFonts w:hint="eastAsia" w:ascii="仿宋" w:hAnsi="仿宋" w:eastAsia="仿宋"/>
                <w:b/>
                <w:szCs w:val="21"/>
                <w:highlight w:val="none"/>
              </w:rPr>
              <w:t>/当年</w:t>
            </w:r>
            <w:r>
              <w:rPr>
                <w:rFonts w:ascii="仿宋" w:hAnsi="仿宋" w:eastAsia="仿宋"/>
                <w:b/>
                <w:szCs w:val="21"/>
                <w:highlight w:val="none"/>
              </w:rPr>
              <w:t>天数</w:t>
            </w:r>
            <w:r>
              <w:rPr>
                <w:rFonts w:hint="eastAsia" w:ascii="仿宋" w:hAnsi="仿宋" w:eastAsia="仿宋"/>
                <w:b/>
                <w:szCs w:val="21"/>
                <w:highlight w:val="none"/>
              </w:rPr>
              <w:t>。</w:t>
            </w:r>
            <w:r>
              <w:rPr>
                <w:rFonts w:hint="eastAsia" w:ascii="仿宋" w:hAnsi="仿宋" w:eastAsia="仿宋"/>
                <w:b/>
                <w:bCs w:val="0"/>
                <w:szCs w:val="21"/>
                <w:highlight w:val="none"/>
              </w:rPr>
              <w:t>F为固定管理费；E为计算</w:t>
            </w:r>
            <w:r>
              <w:rPr>
                <w:rFonts w:ascii="仿宋" w:hAnsi="仿宋" w:eastAsia="仿宋"/>
                <w:b/>
                <w:bCs w:val="0"/>
                <w:szCs w:val="21"/>
                <w:highlight w:val="none"/>
              </w:rPr>
              <w:t>基数</w:t>
            </w:r>
            <w:r>
              <w:rPr>
                <w:rFonts w:hint="eastAsia" w:ascii="仿宋" w:hAnsi="仿宋" w:eastAsia="仿宋"/>
                <w:b/>
                <w:bCs w:val="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default" w:ascii="仿宋" w:hAnsi="仿宋" w:eastAsia="仿宋"/>
                <w:b w:val="0"/>
                <w:bCs/>
                <w:szCs w:val="21"/>
                <w:highlight w:val="none"/>
                <w:lang w:val="en-US"/>
              </w:rPr>
            </w:pPr>
            <w:r>
              <w:rPr>
                <w:rFonts w:hint="eastAsia" w:ascii="仿宋" w:hAnsi="仿宋" w:eastAsia="仿宋"/>
                <w:b w:val="0"/>
                <w:bCs/>
                <w:szCs w:val="21"/>
                <w:highlight w:val="none"/>
              </w:rPr>
              <w:t>超额</w:t>
            </w:r>
            <w:r>
              <w:rPr>
                <w:rFonts w:ascii="仿宋" w:hAnsi="仿宋" w:eastAsia="仿宋"/>
                <w:b w:val="0"/>
                <w:bCs/>
                <w:szCs w:val="21"/>
                <w:highlight w:val="none"/>
              </w:rPr>
              <w:t>管理费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ascii="仿宋" w:hAnsi="仿宋" w:eastAsia="仿宋"/>
                <w:b/>
                <w:szCs w:val="21"/>
                <w:highlight w:val="none"/>
                <w:u w:val="none"/>
              </w:rPr>
              <w:t>本理财产品扣除各项费用（包括销售手续费、托管费、固定管理费及其他费用等）后，年化收益率低于或等于超额计提基准，则管理人不收取超额管理费；超过超额计提基准的部分，50%归投资人所有，50%作为管理人的超额管理费。</w:t>
            </w:r>
            <w:r>
              <w:rPr>
                <w:rFonts w:ascii="仿宋" w:hAnsi="仿宋" w:eastAsia="仿宋"/>
                <w:b/>
                <w:szCs w:val="21"/>
                <w:highlight w:val="none"/>
                <w:u w:val="none"/>
              </w:rPr>
              <w:br w:type="textWrapping"/>
            </w:r>
            <w:r>
              <w:rPr>
                <w:rFonts w:ascii="仿宋" w:hAnsi="仿宋" w:eastAsia="仿宋"/>
                <w:b/>
                <w:szCs w:val="21"/>
                <w:highlight w:val="none"/>
                <w:u w:val="none"/>
              </w:rPr>
              <w:t xml:space="preserve">    A份额：超额计提基准为2.25%（年化）。</w:t>
            </w:r>
            <w:r>
              <w:rPr>
                <w:rFonts w:ascii="仿宋" w:hAnsi="仿宋" w:eastAsia="仿宋"/>
                <w:b/>
                <w:szCs w:val="21"/>
                <w:highlight w:val="none"/>
                <w:u w:val="none"/>
              </w:rPr>
              <w:br w:type="textWrapping"/>
            </w:r>
            <w:r>
              <w:rPr>
                <w:rFonts w:ascii="仿宋" w:hAnsi="仿宋" w:eastAsia="仿宋"/>
                <w:b/>
                <w:szCs w:val="21"/>
                <w:highlight w:val="none"/>
                <w:u w:val="none"/>
              </w:rPr>
              <w:t xml:space="preserve">    B份额：超额计提基准为2.20%（年化）。</w:t>
            </w:r>
            <w:r>
              <w:rPr>
                <w:rFonts w:ascii="仿宋" w:hAnsi="仿宋" w:eastAsia="仿宋"/>
                <w:b/>
                <w:szCs w:val="21"/>
                <w:highlight w:val="none"/>
                <w:u w:val="none"/>
              </w:rPr>
              <w:br w:type="textWrapping"/>
            </w:r>
            <w:r>
              <w:rPr>
                <w:rFonts w:ascii="仿宋" w:hAnsi="仿宋" w:eastAsia="仿宋"/>
                <w:b/>
                <w:szCs w:val="21"/>
                <w:highlight w:val="none"/>
                <w:u w:val="none"/>
              </w:rPr>
              <w:t xml:space="preserve">    C份额：超额计提基准为2.10%（年化）。</w:t>
            </w:r>
            <w:r>
              <w:rPr>
                <w:rFonts w:ascii="仿宋" w:hAnsi="仿宋" w:eastAsia="仿宋"/>
                <w:b/>
                <w:szCs w:val="21"/>
                <w:highlight w:val="none"/>
                <w:u w:val="none"/>
              </w:rPr>
              <w:br w:type="textWrapping"/>
            </w:r>
            <w:r>
              <w:rPr>
                <w:rFonts w:ascii="仿宋" w:hAnsi="仿宋" w:eastAsia="仿宋"/>
                <w:b/>
                <w:szCs w:val="21"/>
                <w:highlight w:val="none"/>
                <w:u w:val="none"/>
              </w:rPr>
              <w:t xml:space="preserve">    D份额：超额计提基准为2.05%（年化）。</w:t>
            </w:r>
            <w:r>
              <w:rPr>
                <w:rFonts w:ascii="仿宋" w:hAnsi="仿宋" w:eastAsia="仿宋"/>
                <w:b/>
                <w:szCs w:val="21"/>
                <w:highlight w:val="none"/>
                <w:u w:val="none"/>
              </w:rPr>
              <w:br w:type="textWrapping"/>
            </w:r>
            <w:r>
              <w:rPr>
                <w:rFonts w:ascii="仿宋" w:hAnsi="仿宋" w:eastAsia="仿宋"/>
                <w:b/>
                <w:szCs w:val="21"/>
                <w:highlight w:val="none"/>
                <w:u w:val="none"/>
              </w:rPr>
              <w:t xml:space="preserve">    E份额：超额计提基准为2.00%（年化）。</w:t>
            </w:r>
            <w:r>
              <w:rPr>
                <w:rFonts w:ascii="仿宋" w:hAnsi="仿宋" w:eastAsia="仿宋"/>
                <w:b/>
                <w:szCs w:val="21"/>
                <w:highlight w:val="none"/>
                <w:u w:val="none"/>
              </w:rPr>
              <w:br w:type="textWrapping"/>
            </w:r>
            <w:r>
              <w:rPr>
                <w:rFonts w:ascii="仿宋" w:hAnsi="仿宋" w:eastAsia="仿宋"/>
                <w:b/>
                <w:szCs w:val="21"/>
                <w:highlight w:val="none"/>
                <w:u w:val="none"/>
              </w:rPr>
              <w:t xml:space="preserve">    H份额：超额计提基准为2.15%（年化）。</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
                <w:bCs w:val="0"/>
                <w:szCs w:val="21"/>
                <w:highlight w:val="none"/>
              </w:rPr>
            </w:pPr>
            <w:r>
              <w:rPr>
                <w:rFonts w:ascii="仿宋" w:hAnsi="仿宋" w:eastAsia="仿宋"/>
                <w:b/>
                <w:szCs w:val="21"/>
                <w:highlight w:val="none"/>
                <w:u w:val="none"/>
              </w:rPr>
              <w:t>本理财产品超额管理费的计算公式：</w:t>
            </w:r>
            <w:r>
              <w:rPr>
                <w:rFonts w:ascii="仿宋" w:hAnsi="仿宋" w:eastAsia="仿宋"/>
                <w:b/>
                <w:szCs w:val="21"/>
                <w:highlight w:val="none"/>
                <w:u w:val="none"/>
              </w:rPr>
              <w:br w:type="textWrapping"/>
            </w:r>
            <w:r>
              <w:rPr>
                <w:rFonts w:ascii="仿宋" w:hAnsi="仿宋" w:eastAsia="仿宋"/>
                <w:b/>
                <w:szCs w:val="21"/>
                <w:highlight w:val="none"/>
                <w:u w:val="none"/>
              </w:rPr>
              <w:t xml:space="preserve">    超额管理费=（年化收益率-超额计提基准）×当期持有天数÷365×50% ×产品份额×1.0000</w:t>
            </w:r>
            <w:r>
              <w:rPr>
                <w:rFonts w:ascii="仿宋" w:hAnsi="仿宋" w:eastAsia="仿宋"/>
                <w:b/>
                <w:szCs w:val="21"/>
                <w:highlight w:val="none"/>
                <w:u w:val="none"/>
              </w:rPr>
              <w:br w:type="textWrapping"/>
            </w:r>
            <w:r>
              <w:rPr>
                <w:rFonts w:ascii="仿宋" w:hAnsi="仿宋" w:eastAsia="仿宋"/>
                <w:b/>
                <w:szCs w:val="21"/>
                <w:highlight w:val="none"/>
                <w:u w:val="none"/>
              </w:rPr>
              <w:t xml:space="preserve">    其中：年化收益率=（计提日累计单位净值-1.0000）÷1.0000×365÷当期持有天数。“产品份额”为产品份额，若有红利再投时，将剔除红利再投产生份额的影响。</w:t>
            </w:r>
            <w:r>
              <w:rPr>
                <w:rFonts w:ascii="仿宋" w:hAnsi="仿宋" w:eastAsia="仿宋"/>
                <w:b/>
                <w:szCs w:val="21"/>
                <w:highlight w:val="none"/>
                <w:u w:val="none"/>
              </w:rPr>
              <w:br w:type="textWrapping"/>
            </w:r>
            <w:r>
              <w:rPr>
                <w:rFonts w:ascii="仿宋" w:hAnsi="仿宋" w:eastAsia="仿宋"/>
                <w:b/>
                <w:szCs w:val="21"/>
                <w:highlight w:val="none"/>
                <w:u w:val="none"/>
              </w:rPr>
              <w:t xml:space="preserve">    投资周期内每个估值日计提超额管理费，仅作为暂估数据，用于本产品会计核算和估值日估值。仅到期/终止日为本产品超额管理费实际计提和收取日。</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b/>
                <w:highlight w:val="none"/>
              </w:rPr>
            </w:pPr>
            <w:r>
              <w:rPr>
                <w:rFonts w:hint="eastAsia" w:ascii="仿宋" w:hAnsi="仿宋" w:eastAsia="仿宋"/>
                <w:b/>
                <w:color w:val="000000"/>
                <w:szCs w:val="21"/>
                <w:highlight w:val="none"/>
              </w:rPr>
              <w:t>华夏理财有权根据市场</w:t>
            </w:r>
            <w:r>
              <w:rPr>
                <w:rFonts w:hint="eastAsia" w:ascii="仿宋" w:hAnsi="仿宋" w:eastAsia="仿宋"/>
                <w:b/>
                <w:szCs w:val="21"/>
                <w:highlight w:val="none"/>
              </w:rPr>
              <w:t>及产品运作情况调整上述规则，并至少于生效前3个工作日通过本产品说明书约定的信息披露渠道进行公告</w:t>
            </w:r>
            <w:r>
              <w:rPr>
                <w:rFonts w:hint="eastAsia" w:ascii="仿宋" w:hAnsi="仿宋" w:eastAsia="仿宋"/>
                <w:b/>
                <w:color w:val="00000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b w:val="0"/>
                <w:bCs/>
                <w:highlight w:val="none"/>
              </w:rPr>
            </w:pPr>
            <w:r>
              <w:rPr>
                <w:rFonts w:hint="eastAsia" w:ascii="仿宋" w:hAnsi="仿宋" w:eastAsia="仿宋"/>
                <w:b w:val="0"/>
                <w:bCs/>
                <w:szCs w:val="21"/>
                <w:highlight w:val="none"/>
              </w:rPr>
              <w:t>其他</w:t>
            </w:r>
            <w:r>
              <w:rPr>
                <w:rFonts w:ascii="仿宋" w:hAnsi="仿宋" w:eastAsia="仿宋"/>
                <w:b w:val="0"/>
                <w:bCs/>
                <w:szCs w:val="21"/>
                <w:highlight w:val="none"/>
              </w:rPr>
              <w:t>费用</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b/>
                <w:highlight w:val="none"/>
              </w:rPr>
            </w:pPr>
            <w:r>
              <w:rPr>
                <w:rFonts w:hint="eastAsia" w:ascii="仿宋" w:hAnsi="仿宋" w:eastAsia="仿宋"/>
                <w:b/>
                <w:bCs w:val="0"/>
                <w:szCs w:val="21"/>
                <w:highlight w:val="none"/>
              </w:rPr>
              <w:t>理财资金运作期间以及追索理财资金可能产生的诉讼费、保全费、信托费、税费、审计费、律师费、公证费、清算费、执行费等，按其实际发生数额从理财资产中支取。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份额净值</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份额净值为提取管理费、托管费、销售手续费等相关费用后的理财产品份额净值，投资者按该份额净值进行到期/终止时的分配。</w:t>
            </w:r>
            <w:r>
              <w:rPr>
                <w:rFonts w:hint="eastAsia" w:ascii="仿宋" w:hAnsi="仿宋" w:eastAsia="仿宋"/>
                <w:b/>
                <w:bCs w:val="0"/>
                <w:szCs w:val="21"/>
                <w:highlight w:val="none"/>
              </w:rPr>
              <w:t>份额净值的计算保留到小数点</w:t>
            </w:r>
            <w:r>
              <w:rPr>
                <w:rFonts w:hint="eastAsia" w:ascii="仿宋" w:hAnsi="仿宋" w:eastAsia="仿宋"/>
                <w:b/>
                <w:bCs w:val="0"/>
                <w:szCs w:val="21"/>
                <w:highlight w:val="none"/>
              </w:rPr>
              <w:t>后</w:t>
            </w:r>
            <w:r>
              <w:rPr>
                <w:rFonts w:ascii="仿宋" w:hAnsi="仿宋" w:eastAsia="仿宋"/>
                <w:b/>
                <w:szCs w:val="21"/>
                <w:highlight w:val="none"/>
                <w:u w:val="none"/>
              </w:rPr>
              <w:t>4</w:t>
            </w:r>
            <w:r>
              <w:rPr>
                <w:rFonts w:hint="eastAsia" w:ascii="仿宋" w:hAnsi="仿宋" w:eastAsia="仿宋"/>
                <w:b/>
                <w:bCs w:val="0"/>
                <w:szCs w:val="21"/>
                <w:highlight w:val="none"/>
              </w:rPr>
              <w:t>位，小数点后</w:t>
            </w:r>
            <w:r>
              <w:rPr>
                <w:rFonts w:hint="eastAsia" w:ascii="仿宋" w:hAnsi="仿宋" w:eastAsia="仿宋"/>
                <w:b/>
                <w:bCs w:val="0"/>
                <w:szCs w:val="21"/>
                <w:highlight w:val="none"/>
              </w:rPr>
              <w:t>第</w:t>
            </w:r>
            <w:r>
              <w:rPr>
                <w:rFonts w:ascii="仿宋" w:hAnsi="仿宋" w:eastAsia="仿宋"/>
                <w:b/>
                <w:szCs w:val="21"/>
                <w:highlight w:val="none"/>
                <w:u w:val="none"/>
              </w:rPr>
              <w:t>5</w:t>
            </w:r>
            <w:r>
              <w:rPr>
                <w:rFonts w:hint="eastAsia" w:ascii="仿宋" w:hAnsi="仿宋" w:eastAsia="仿宋"/>
                <w:b/>
                <w:bCs w:val="0"/>
                <w:szCs w:val="21"/>
                <w:highlight w:val="none"/>
              </w:rPr>
              <w:t>位</w:t>
            </w:r>
            <w:r>
              <w:rPr>
                <w:rFonts w:ascii="仿宋" w:hAnsi="仿宋" w:eastAsia="仿宋"/>
                <w:b/>
                <w:szCs w:val="21"/>
                <w:highlight w:val="none"/>
                <w:u w:val="none"/>
              </w:rPr>
              <w:t>舍去</w:t>
            </w:r>
            <w:r>
              <w:rPr>
                <w:rFonts w:hint="eastAsia" w:ascii="仿宋" w:hAnsi="仿宋" w:eastAsia="仿宋"/>
                <w:b/>
                <w:bCs w:val="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lang w:val="en-US" w:eastAsia="zh-CN"/>
              </w:rPr>
              <w:t>产品</w:t>
            </w:r>
            <w:r>
              <w:rPr>
                <w:rFonts w:hint="eastAsia" w:ascii="仿宋" w:hAnsi="仿宋" w:eastAsia="仿宋"/>
                <w:bCs/>
                <w:szCs w:val="21"/>
                <w:highlight w:val="none"/>
              </w:rPr>
              <w:t>净值公告</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产品每周五的份额净值，将在该周五结束后的第3个工作日公告（如周五为非工作日，则公告周五上1个工作日的份额净值；如当周没有第3个工作日，则顺延至下1个工作日）。</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产品到期/终止日的份额净值，将在到期/终止</w:t>
            </w:r>
            <w:r>
              <w:rPr>
                <w:rFonts w:ascii="仿宋" w:hAnsi="仿宋" w:eastAsia="仿宋"/>
                <w:bCs/>
                <w:szCs w:val="21"/>
                <w:highlight w:val="none"/>
              </w:rPr>
              <w:t>日</w:t>
            </w:r>
            <w:r>
              <w:rPr>
                <w:rFonts w:hint="eastAsia" w:ascii="仿宋" w:hAnsi="仿宋" w:eastAsia="仿宋"/>
                <w:highlight w:val="none"/>
              </w:rPr>
              <w:t>结束</w:t>
            </w:r>
            <w:r>
              <w:rPr>
                <w:rFonts w:ascii="仿宋" w:hAnsi="仿宋" w:eastAsia="仿宋"/>
                <w:bCs/>
                <w:szCs w:val="21"/>
                <w:highlight w:val="none"/>
              </w:rPr>
              <w:t>后的</w:t>
            </w:r>
            <w:r>
              <w:rPr>
                <w:rFonts w:hint="eastAsia" w:ascii="仿宋" w:hAnsi="仿宋" w:eastAsia="仿宋"/>
                <w:bCs/>
                <w:szCs w:val="21"/>
                <w:highlight w:val="none"/>
              </w:rPr>
              <w:t>2个</w:t>
            </w:r>
            <w:r>
              <w:rPr>
                <w:rFonts w:ascii="仿宋" w:hAnsi="仿宋" w:eastAsia="仿宋"/>
                <w:bCs/>
                <w:szCs w:val="21"/>
                <w:highlight w:val="none"/>
              </w:rPr>
              <w:t>工作日</w:t>
            </w:r>
            <w:r>
              <w:rPr>
                <w:rFonts w:hint="eastAsia" w:ascii="仿宋" w:hAnsi="仿宋" w:eastAsia="仿宋"/>
                <w:bCs/>
                <w:szCs w:val="21"/>
                <w:highlight w:val="none"/>
              </w:rPr>
              <w:t>内</w:t>
            </w:r>
            <w:r>
              <w:rPr>
                <w:rFonts w:ascii="仿宋" w:hAnsi="仿宋" w:eastAsia="仿宋"/>
                <w:bCs/>
                <w:szCs w:val="21"/>
                <w:highlight w:val="none"/>
              </w:rPr>
              <w:t>公告。</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Cs/>
                <w:szCs w:val="21"/>
                <w:highlight w:val="none"/>
              </w:rPr>
            </w:pPr>
            <w:r>
              <w:rPr>
                <w:rFonts w:hint="eastAsia" w:ascii="仿宋" w:hAnsi="仿宋" w:eastAsia="仿宋"/>
                <w:b/>
                <w:szCs w:val="21"/>
                <w:highlight w:val="none"/>
              </w:rPr>
              <w:t>产品封闭期</w:t>
            </w:r>
            <w:r>
              <w:rPr>
                <w:rFonts w:hint="eastAsia" w:ascii="仿宋" w:hAnsi="仿宋" w:eastAsia="仿宋"/>
                <w:b/>
                <w:bCs/>
                <w:szCs w:val="21"/>
                <w:highlight w:val="none"/>
              </w:rPr>
              <w:t>净值公告中的工作日，指上海证券交易所和深圳证券交易所的交易日，且同时为银行对外办理一般对公业务的工作日。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分红方式</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ascii="仿宋" w:hAnsi="仿宋" w:eastAsia="仿宋" w:cs="宋体"/>
                <w:szCs w:val="21"/>
                <w:highlight w:val="none"/>
              </w:rPr>
              <w:t>产品管理人可以在产品存续期根据投资情况选择分红或不分红，若分红，将</w:t>
            </w:r>
            <w:r>
              <w:rPr>
                <w:rFonts w:ascii="仿宋" w:hAnsi="仿宋" w:eastAsia="仿宋" w:cs="宋体"/>
                <w:szCs w:val="21"/>
                <w:highlight w:val="none"/>
              </w:rPr>
              <w:t>以</w:t>
            </w:r>
            <w:r>
              <w:rPr>
                <w:rFonts w:ascii="仿宋" w:hAnsi="仿宋" w:eastAsia="仿宋"/>
                <w:b w:val="0"/>
                <w:bCs/>
                <w:szCs w:val="21"/>
                <w:highlight w:val="none"/>
                <w:u w:val="none"/>
              </w:rPr>
              <w:t>现金分红或红利再投资</w:t>
            </w:r>
            <w:r>
              <w:rPr>
                <w:rFonts w:hint="eastAsia" w:ascii="仿宋" w:hAnsi="仿宋" w:eastAsia="仿宋"/>
                <w:b w:val="0"/>
                <w:bCs/>
                <w:szCs w:val="21"/>
                <w:highlight w:val="none"/>
                <w:u w:val="none"/>
                <w:lang w:eastAsia="zh-CN"/>
              </w:rPr>
              <w:t>方式</w:t>
            </w:r>
            <w:r>
              <w:rPr>
                <w:rFonts w:ascii="仿宋" w:hAnsi="仿宋" w:eastAsia="仿宋" w:cs="宋体"/>
                <w:szCs w:val="21"/>
                <w:highlight w:val="none"/>
              </w:rPr>
              <w:t>进</w:t>
            </w:r>
            <w:r>
              <w:rPr>
                <w:rFonts w:ascii="仿宋" w:hAnsi="仿宋" w:eastAsia="仿宋" w:cs="宋体"/>
                <w:szCs w:val="21"/>
                <w:highlight w:val="none"/>
              </w:rPr>
              <w:t>行，默认</w:t>
            </w:r>
            <w:r>
              <w:rPr>
                <w:rFonts w:ascii="仿宋" w:hAnsi="仿宋" w:eastAsia="仿宋" w:cs="宋体"/>
                <w:b w:val="0"/>
                <w:bCs w:val="0"/>
                <w:szCs w:val="21"/>
                <w:highlight w:val="none"/>
              </w:rPr>
              <w:t>为</w:t>
            </w:r>
            <w:r>
              <w:rPr>
                <w:rFonts w:ascii="仿宋" w:hAnsi="仿宋" w:eastAsia="仿宋"/>
                <w:b w:val="0"/>
                <w:bCs w:val="0"/>
                <w:szCs w:val="21"/>
                <w:highlight w:val="none"/>
                <w:u w:val="none"/>
              </w:rPr>
              <w:t>现金分红</w:t>
            </w:r>
            <w:r>
              <w:rPr>
                <w:rFonts w:ascii="仿宋" w:hAnsi="仿宋" w:eastAsia="仿宋" w:cs="宋体"/>
                <w:b w:val="0"/>
                <w:bCs w:val="0"/>
                <w:szCs w:val="21"/>
                <w:highlight w:val="none"/>
              </w:rPr>
              <w:t>，</w:t>
            </w:r>
            <w:r>
              <w:rPr>
                <w:rFonts w:ascii="仿宋" w:hAnsi="仿宋" w:eastAsia="仿宋" w:cs="宋体"/>
                <w:szCs w:val="21"/>
                <w:highlight w:val="none"/>
              </w:rPr>
              <w:t>具体以公告为准。本理财产品分红，将于分红日前3个工作日通过本产品说明书约定的信息披露渠道公布分红方案</w:t>
            </w:r>
            <w:r>
              <w:rPr>
                <w:rFonts w:hint="eastAsia" w:ascii="仿宋" w:hAnsi="仿宋" w:eastAsia="仿宋" w:cs="宋体"/>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工作日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right="-44" w:firstLine="420"/>
              <w:jc w:val="both"/>
              <w:textAlignment w:val="auto"/>
              <w:rPr>
                <w:rFonts w:hint="eastAsia" w:ascii="仿宋" w:hAnsi="仿宋" w:eastAsia="仿宋"/>
                <w:bCs/>
                <w:szCs w:val="21"/>
                <w:highlight w:val="none"/>
                <w:u w:val="none"/>
              </w:rPr>
            </w:pPr>
            <w:r>
              <w:rPr>
                <w:rFonts w:hint="eastAsia" w:ascii="仿宋" w:hAnsi="仿宋" w:eastAsia="仿宋"/>
                <w:bCs/>
                <w:szCs w:val="21"/>
                <w:highlight w:val="none"/>
                <w:u w:val="none"/>
                <w:lang w:val="en-US" w:eastAsia="zh-CN"/>
              </w:rPr>
              <w:t>工作日指上海证券交易所和深圳证券交易所的交易日，且同时为银行对外办理一般对公业务的工作日。</w:t>
            </w:r>
          </w:p>
          <w:p>
            <w:pPr>
              <w:keepLines w:val="0"/>
              <w:pageBreakBefore w:val="0"/>
              <w:widowControl w:val="0"/>
              <w:kinsoku/>
              <w:wordWrap/>
              <w:overflowPunct/>
              <w:topLinePunct w:val="0"/>
              <w:autoSpaceDE/>
              <w:autoSpaceDN/>
              <w:bidi w:val="0"/>
              <w:adjustRightInd/>
              <w:snapToGrid/>
              <w:spacing w:line="300" w:lineRule="atLeast"/>
              <w:ind w:right="-44" w:firstLine="420"/>
              <w:jc w:val="both"/>
              <w:textAlignment w:val="auto"/>
              <w:rPr>
                <w:highlight w:val="none"/>
              </w:rPr>
            </w:pPr>
            <w:r>
              <w:rPr>
                <w:rFonts w:hint="eastAsia" w:ascii="仿宋" w:hAnsi="仿宋" w:eastAsia="仿宋"/>
                <w:bCs/>
                <w:szCs w:val="21"/>
                <w:highlight w:val="none"/>
              </w:rPr>
              <w:t>本说明书中所写的“确认日”“到账日”，除非特别说明均为工作日，若遇非工作日顺延至下一工作日。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Cs/>
                <w:szCs w:val="21"/>
                <w:highlight w:val="none"/>
              </w:rPr>
            </w:pPr>
            <w:r>
              <w:rPr>
                <w:rFonts w:hint="eastAsia" w:ascii="仿宋" w:hAnsi="仿宋" w:eastAsia="仿宋"/>
                <w:bCs/>
                <w:szCs w:val="21"/>
                <w:highlight w:val="none"/>
              </w:rPr>
              <w:t>交易日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right="-44"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交易日指上海证券交易所和深圳证券交易所的交易日。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提前终止权</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ascii="仿宋" w:hAnsi="仿宋" w:eastAsia="仿宋"/>
                <w:bCs/>
                <w:szCs w:val="21"/>
                <w:highlight w:val="none"/>
              </w:rPr>
              <w:t>一、</w:t>
            </w:r>
            <w:r>
              <w:rPr>
                <w:rFonts w:ascii="仿宋" w:hAnsi="仿宋" w:eastAsia="仿宋"/>
                <w:b/>
                <w:szCs w:val="21"/>
                <w:highlight w:val="none"/>
              </w:rPr>
              <w:t>投资者提前终止权</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Cs/>
                <w:szCs w:val="21"/>
                <w:highlight w:val="none"/>
              </w:rPr>
            </w:pPr>
            <w:r>
              <w:rPr>
                <w:rFonts w:hint="eastAsia" w:ascii="仿宋" w:hAnsi="仿宋" w:eastAsia="仿宋"/>
                <w:b/>
                <w:szCs w:val="21"/>
                <w:highlight w:val="none"/>
              </w:rPr>
              <w:t>华夏理财调整</w:t>
            </w:r>
            <w:r>
              <w:rPr>
                <w:rFonts w:ascii="仿宋" w:hAnsi="仿宋" w:eastAsia="仿宋"/>
                <w:b/>
                <w:szCs w:val="21"/>
                <w:highlight w:val="none"/>
              </w:rPr>
              <w:t>本理财产品的</w:t>
            </w:r>
            <w:r>
              <w:rPr>
                <w:rFonts w:hint="eastAsia" w:ascii="仿宋" w:hAnsi="仿宋" w:eastAsia="仿宋"/>
                <w:b/>
                <w:szCs w:val="21"/>
                <w:highlight w:val="none"/>
              </w:rPr>
              <w:t>投资范围、投资品种、投资比例、</w:t>
            </w:r>
            <w:r>
              <w:rPr>
                <w:rFonts w:ascii="仿宋" w:hAnsi="仿宋" w:eastAsia="仿宋"/>
                <w:b/>
                <w:szCs w:val="21"/>
                <w:highlight w:val="none"/>
              </w:rPr>
              <w:t>收费项目、收费条件、收费标准和收费方式</w:t>
            </w:r>
            <w:r>
              <w:rPr>
                <w:rFonts w:hint="eastAsia" w:ascii="仿宋" w:hAnsi="仿宋" w:eastAsia="仿宋"/>
                <w:b/>
                <w:szCs w:val="21"/>
                <w:highlight w:val="none"/>
              </w:rPr>
              <w:t>等，或补充和修订本产品说明书相关条款，将提前3个工作日</w:t>
            </w:r>
            <w:r>
              <w:rPr>
                <w:rFonts w:ascii="仿宋" w:hAnsi="仿宋" w:eastAsia="仿宋"/>
                <w:b/>
                <w:szCs w:val="21"/>
                <w:highlight w:val="none"/>
              </w:rPr>
              <w:t>通过</w:t>
            </w:r>
            <w:r>
              <w:rPr>
                <w:rFonts w:hint="eastAsia" w:ascii="仿宋" w:hAnsi="仿宋" w:eastAsia="仿宋"/>
                <w:b/>
                <w:szCs w:val="21"/>
                <w:highlight w:val="none"/>
              </w:rPr>
              <w:t>本产品说明书约定的信息披露渠道</w:t>
            </w:r>
            <w:r>
              <w:rPr>
                <w:rFonts w:ascii="仿宋" w:hAnsi="仿宋" w:eastAsia="仿宋"/>
                <w:b/>
                <w:szCs w:val="21"/>
                <w:highlight w:val="none"/>
              </w:rPr>
              <w:t>公告</w:t>
            </w:r>
            <w:r>
              <w:rPr>
                <w:rFonts w:hint="eastAsia" w:ascii="仿宋" w:hAnsi="仿宋" w:eastAsia="仿宋"/>
                <w:bCs/>
                <w:szCs w:val="21"/>
                <w:highlight w:val="none"/>
              </w:rPr>
              <w:t>。除本产品说明书第十部分“特别提示”所列情形外，</w:t>
            </w:r>
            <w:r>
              <w:rPr>
                <w:rFonts w:ascii="仿宋" w:hAnsi="仿宋" w:eastAsia="仿宋"/>
                <w:bCs/>
                <w:szCs w:val="21"/>
                <w:highlight w:val="none"/>
              </w:rPr>
              <w:t>投资者不接受调整的，应在公告确定的期限内向</w:t>
            </w:r>
            <w:r>
              <w:rPr>
                <w:rFonts w:hint="eastAsia" w:ascii="仿宋" w:hAnsi="仿宋" w:eastAsia="仿宋"/>
                <w:bCs/>
                <w:szCs w:val="21"/>
                <w:highlight w:val="none"/>
              </w:rPr>
              <w:t>对应销售机构</w:t>
            </w:r>
            <w:r>
              <w:rPr>
                <w:rFonts w:ascii="仿宋" w:hAnsi="仿宋" w:eastAsia="仿宋"/>
                <w:bCs/>
                <w:szCs w:val="21"/>
                <w:highlight w:val="none"/>
              </w:rPr>
              <w:t>申请提前赎回并办理相关手续。</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ascii="仿宋" w:hAnsi="仿宋" w:eastAsia="仿宋"/>
                <w:bCs/>
                <w:szCs w:val="21"/>
                <w:highlight w:val="none"/>
              </w:rPr>
              <w:t>二、华夏</w:t>
            </w:r>
            <w:r>
              <w:rPr>
                <w:rFonts w:hint="eastAsia" w:ascii="仿宋" w:hAnsi="仿宋" w:eastAsia="仿宋"/>
                <w:bCs/>
                <w:szCs w:val="21"/>
                <w:highlight w:val="none"/>
              </w:rPr>
              <w:t>理财</w:t>
            </w:r>
            <w:r>
              <w:rPr>
                <w:rFonts w:ascii="仿宋" w:hAnsi="仿宋" w:eastAsia="仿宋"/>
                <w:bCs/>
                <w:szCs w:val="21"/>
                <w:highlight w:val="none"/>
              </w:rPr>
              <w:t>提前终止权</w:t>
            </w:r>
          </w:p>
          <w:p>
            <w:pPr>
              <w:keepNext w:val="0"/>
              <w:keepLines w:val="0"/>
              <w:pageBreakBefore w:val="0"/>
              <w:widowControl w:val="0"/>
              <w:kinsoku/>
              <w:wordWrap/>
              <w:overflowPunct/>
              <w:topLinePunct w:val="0"/>
              <w:autoSpaceDE/>
              <w:autoSpaceDN/>
              <w:bidi w:val="0"/>
              <w:adjustRightInd/>
              <w:snapToGrid/>
              <w:spacing w:line="300" w:lineRule="atLeast"/>
              <w:ind w:firstLine="422" w:firstLineChars="200"/>
              <w:jc w:val="both"/>
              <w:textAlignment w:val="auto"/>
              <w:rPr>
                <w:rFonts w:ascii="仿宋" w:hAnsi="仿宋" w:eastAsia="仿宋"/>
                <w:b/>
                <w:bCs/>
                <w:szCs w:val="21"/>
                <w:highlight w:val="none"/>
              </w:rPr>
            </w:pPr>
            <w:r>
              <w:rPr>
                <w:rFonts w:ascii="仿宋" w:hAnsi="仿宋" w:eastAsia="仿宋"/>
                <w:b/>
                <w:bCs/>
                <w:szCs w:val="21"/>
                <w:highlight w:val="none"/>
              </w:rPr>
              <w:t>1</w:t>
            </w:r>
            <w:r>
              <w:rPr>
                <w:rFonts w:hint="eastAsia" w:ascii="仿宋" w:hAnsi="仿宋" w:eastAsia="仿宋"/>
                <w:b/>
                <w:bCs/>
                <w:szCs w:val="21"/>
                <w:highlight w:val="none"/>
                <w:lang w:val="en-US" w:eastAsia="zh-CN"/>
              </w:rPr>
              <w:t>.</w:t>
            </w:r>
            <w:r>
              <w:rPr>
                <w:rFonts w:ascii="仿宋" w:hAnsi="仿宋" w:eastAsia="仿宋"/>
                <w:b/>
                <w:bCs/>
                <w:szCs w:val="21"/>
                <w:highlight w:val="none"/>
              </w:rPr>
              <w:t>出现下列情形，华夏</w:t>
            </w:r>
            <w:r>
              <w:rPr>
                <w:rFonts w:hint="eastAsia" w:ascii="仿宋" w:hAnsi="仿宋" w:eastAsia="仿宋"/>
                <w:b/>
                <w:bCs/>
                <w:szCs w:val="21"/>
                <w:highlight w:val="none"/>
              </w:rPr>
              <w:t>理财</w:t>
            </w:r>
            <w:r>
              <w:rPr>
                <w:rFonts w:ascii="仿宋" w:hAnsi="仿宋" w:eastAsia="仿宋"/>
                <w:b/>
                <w:bCs/>
                <w:szCs w:val="21"/>
                <w:highlight w:val="none"/>
              </w:rPr>
              <w:t>有权提前终止本理财产品：</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cs="宋体"/>
                <w:bCs/>
                <w:szCs w:val="21"/>
                <w:highlight w:val="none"/>
                <w:lang w:eastAsia="zh-CN"/>
              </w:rPr>
              <w:t>（</w:t>
            </w:r>
            <w:r>
              <w:rPr>
                <w:rFonts w:hint="eastAsia" w:ascii="仿宋" w:hAnsi="仿宋" w:eastAsia="仿宋" w:cs="宋体"/>
                <w:bCs/>
                <w:szCs w:val="21"/>
                <w:highlight w:val="none"/>
                <w:lang w:val="en-US" w:eastAsia="zh-CN"/>
              </w:rPr>
              <w:t>1</w:t>
            </w:r>
            <w:r>
              <w:rPr>
                <w:rFonts w:hint="eastAsia" w:ascii="仿宋" w:hAnsi="仿宋" w:eastAsia="仿宋" w:cs="宋体"/>
                <w:bCs/>
                <w:szCs w:val="21"/>
                <w:highlight w:val="none"/>
                <w:lang w:eastAsia="zh-CN"/>
              </w:rPr>
              <w:t>）</w:t>
            </w:r>
            <w:r>
              <w:rPr>
                <w:rFonts w:hint="eastAsia" w:ascii="仿宋" w:hAnsi="仿宋" w:eastAsia="仿宋"/>
                <w:bCs/>
                <w:szCs w:val="21"/>
                <w:highlight w:val="none"/>
              </w:rPr>
              <w:t>法律法规、监管规定、国家政策</w:t>
            </w:r>
            <w:r>
              <w:rPr>
                <w:rFonts w:ascii="仿宋" w:hAnsi="仿宋" w:eastAsia="仿宋"/>
                <w:bCs/>
                <w:szCs w:val="21"/>
                <w:highlight w:val="none"/>
              </w:rPr>
              <w:t>出现重大调整影响本理财产品正常运作；</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cs="宋体"/>
                <w:bCs/>
                <w:szCs w:val="21"/>
                <w:highlight w:val="none"/>
                <w:lang w:eastAsia="zh-CN"/>
              </w:rPr>
              <w:t>（</w:t>
            </w:r>
            <w:r>
              <w:rPr>
                <w:rFonts w:hint="eastAsia" w:ascii="仿宋" w:hAnsi="仿宋" w:eastAsia="仿宋" w:cs="宋体"/>
                <w:bCs/>
                <w:szCs w:val="21"/>
                <w:highlight w:val="none"/>
                <w:lang w:val="en-US" w:eastAsia="zh-CN"/>
              </w:rPr>
              <w:t>2</w:t>
            </w:r>
            <w:r>
              <w:rPr>
                <w:rFonts w:hint="eastAsia" w:ascii="仿宋" w:hAnsi="仿宋" w:eastAsia="仿宋" w:cs="宋体"/>
                <w:bCs/>
                <w:szCs w:val="21"/>
                <w:highlight w:val="none"/>
                <w:lang w:eastAsia="zh-CN"/>
              </w:rPr>
              <w:t>）</w:t>
            </w:r>
            <w:r>
              <w:rPr>
                <w:rFonts w:hint="eastAsia" w:ascii="仿宋" w:hAnsi="仿宋" w:eastAsia="仿宋"/>
                <w:bCs/>
                <w:szCs w:val="21"/>
                <w:highlight w:val="none"/>
              </w:rPr>
              <w:t>市场收益率大幅波动等可能或实质影响到产品所能实现的投资收益，提前终止比维持产品运作更有利于保护投资者的权益；</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cs="宋体"/>
                <w:bCs/>
                <w:szCs w:val="21"/>
                <w:highlight w:val="none"/>
                <w:lang w:eastAsia="zh-CN"/>
              </w:rPr>
              <w:t>（</w:t>
            </w:r>
            <w:r>
              <w:rPr>
                <w:rFonts w:hint="eastAsia" w:ascii="仿宋" w:hAnsi="仿宋" w:eastAsia="仿宋" w:cs="宋体"/>
                <w:bCs/>
                <w:szCs w:val="21"/>
                <w:highlight w:val="none"/>
                <w:lang w:val="en-US" w:eastAsia="zh-CN"/>
              </w:rPr>
              <w:t>3</w:t>
            </w:r>
            <w:r>
              <w:rPr>
                <w:rFonts w:hint="eastAsia" w:ascii="仿宋" w:hAnsi="仿宋" w:eastAsia="仿宋" w:cs="宋体"/>
                <w:bCs/>
                <w:szCs w:val="21"/>
                <w:highlight w:val="none"/>
                <w:lang w:eastAsia="zh-CN"/>
              </w:rPr>
              <w:t>）</w:t>
            </w:r>
            <w:r>
              <w:rPr>
                <w:rFonts w:ascii="仿宋" w:hAnsi="仿宋" w:eastAsia="仿宋"/>
                <w:bCs/>
                <w:szCs w:val="21"/>
                <w:highlight w:val="none"/>
              </w:rPr>
              <w:t>理财资金所投资的</w:t>
            </w:r>
            <w:r>
              <w:rPr>
                <w:rFonts w:hint="eastAsia" w:ascii="仿宋" w:hAnsi="仿宋" w:eastAsia="仿宋"/>
                <w:bCs/>
                <w:szCs w:val="21"/>
                <w:highlight w:val="none"/>
              </w:rPr>
              <w:t>相关资产</w:t>
            </w:r>
            <w:r>
              <w:rPr>
                <w:rFonts w:ascii="仿宋" w:hAnsi="仿宋" w:eastAsia="仿宋"/>
                <w:bCs/>
                <w:szCs w:val="21"/>
                <w:highlight w:val="none"/>
              </w:rPr>
              <w:t>提前终止</w:t>
            </w:r>
            <w:r>
              <w:rPr>
                <w:rFonts w:hint="eastAsia" w:ascii="仿宋" w:hAnsi="仿宋" w:eastAsia="仿宋"/>
                <w:bCs/>
                <w:szCs w:val="21"/>
                <w:highlight w:val="none"/>
              </w:rPr>
              <w:t>，或本理财产品根据投资策略、交易结构触碰提前终止条件；</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cs="宋体"/>
                <w:bCs/>
                <w:szCs w:val="21"/>
                <w:highlight w:val="none"/>
                <w:lang w:eastAsia="zh-CN"/>
              </w:rPr>
              <w:t>（</w:t>
            </w:r>
            <w:r>
              <w:rPr>
                <w:rFonts w:hint="eastAsia" w:ascii="仿宋" w:hAnsi="仿宋" w:eastAsia="仿宋" w:cs="宋体"/>
                <w:bCs/>
                <w:szCs w:val="21"/>
                <w:highlight w:val="none"/>
                <w:lang w:val="en-US" w:eastAsia="zh-CN"/>
              </w:rPr>
              <w:t>4</w:t>
            </w:r>
            <w:r>
              <w:rPr>
                <w:rFonts w:hint="eastAsia" w:ascii="仿宋" w:hAnsi="仿宋" w:eastAsia="仿宋" w:cs="宋体"/>
                <w:bCs/>
                <w:szCs w:val="21"/>
                <w:highlight w:val="none"/>
                <w:lang w:eastAsia="zh-CN"/>
              </w:rPr>
              <w:t>）</w:t>
            </w:r>
            <w:r>
              <w:rPr>
                <w:rFonts w:ascii="仿宋" w:hAnsi="仿宋" w:eastAsia="仿宋"/>
                <w:bCs/>
                <w:szCs w:val="21"/>
                <w:highlight w:val="none"/>
              </w:rPr>
              <w:t>法律法规、监管规定及国家政策规定的其他情形</w:t>
            </w:r>
            <w:r>
              <w:rPr>
                <w:rFonts w:hint="eastAsia" w:ascii="仿宋" w:hAnsi="仿宋" w:eastAsia="仿宋"/>
                <w:bCs/>
                <w:szCs w:val="21"/>
                <w:highlight w:val="none"/>
              </w:rPr>
              <w:t>或华夏理财认为需要提前终止的其他情形</w:t>
            </w:r>
            <w:r>
              <w:rPr>
                <w:rFonts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ascii="仿宋" w:hAnsi="仿宋" w:eastAsia="仿宋"/>
                <w:bCs/>
                <w:szCs w:val="21"/>
                <w:highlight w:val="none"/>
              </w:rPr>
              <w:t>2</w:t>
            </w:r>
            <w:r>
              <w:rPr>
                <w:rFonts w:hint="eastAsia" w:ascii="仿宋" w:hAnsi="仿宋" w:eastAsia="仿宋"/>
                <w:bCs/>
                <w:szCs w:val="21"/>
                <w:highlight w:val="none"/>
                <w:lang w:val="en-US" w:eastAsia="zh-CN"/>
              </w:rPr>
              <w:t>.</w:t>
            </w:r>
            <w:r>
              <w:rPr>
                <w:rFonts w:ascii="仿宋" w:hAnsi="仿宋" w:eastAsia="仿宋"/>
                <w:bCs/>
                <w:szCs w:val="21"/>
                <w:highlight w:val="none"/>
              </w:rPr>
              <w:t>华夏</w:t>
            </w:r>
            <w:r>
              <w:rPr>
                <w:rFonts w:hint="eastAsia" w:ascii="仿宋" w:hAnsi="仿宋" w:eastAsia="仿宋"/>
                <w:bCs/>
                <w:szCs w:val="21"/>
                <w:highlight w:val="none"/>
              </w:rPr>
              <w:t>理财</w:t>
            </w:r>
            <w:r>
              <w:rPr>
                <w:rFonts w:ascii="仿宋" w:hAnsi="仿宋" w:eastAsia="仿宋"/>
                <w:bCs/>
                <w:szCs w:val="21"/>
                <w:highlight w:val="none"/>
              </w:rPr>
              <w:t>提前终止本理财产品的，在提前终止日前3个工作日通过</w:t>
            </w:r>
            <w:r>
              <w:rPr>
                <w:rFonts w:hint="eastAsia" w:ascii="仿宋" w:hAnsi="仿宋" w:eastAsia="仿宋"/>
                <w:bCs/>
                <w:szCs w:val="21"/>
                <w:highlight w:val="none"/>
              </w:rPr>
              <w:t>本产品说明书约定的信息披露渠道公告相关信息。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税款</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根据法律法规规定，本理财产品在资产管理、运营、处置过程中产生收入应缴纳和承担税收和规费的，由管理人直接从理财资产中扣付缴纳。</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ascii="仿宋" w:hAnsi="仿宋" w:eastAsia="仿宋"/>
                <w:bCs/>
                <w:szCs w:val="21"/>
                <w:highlight w:val="none"/>
              </w:rPr>
              <w:t>理财收益的应纳税款由投资者自行申报及缴纳，但若根据法律法规等规定或税务等国家机关的命令或要求，华夏</w:t>
            </w:r>
            <w:r>
              <w:rPr>
                <w:rFonts w:hint="eastAsia" w:ascii="仿宋" w:hAnsi="仿宋" w:eastAsia="仿宋"/>
                <w:bCs/>
                <w:szCs w:val="21"/>
                <w:highlight w:val="none"/>
              </w:rPr>
              <w:t>理财</w:t>
            </w:r>
            <w:r>
              <w:rPr>
                <w:rFonts w:ascii="仿宋" w:hAnsi="仿宋" w:eastAsia="仿宋"/>
                <w:bCs/>
                <w:szCs w:val="21"/>
                <w:highlight w:val="none"/>
              </w:rPr>
              <w:t>有义务代扣代缴投资者承担的税费时，华夏</w:t>
            </w:r>
            <w:r>
              <w:rPr>
                <w:rFonts w:hint="eastAsia" w:ascii="仿宋" w:hAnsi="仿宋" w:eastAsia="仿宋"/>
                <w:bCs/>
                <w:szCs w:val="21"/>
                <w:highlight w:val="none"/>
              </w:rPr>
              <w:t>理财</w:t>
            </w:r>
            <w:r>
              <w:rPr>
                <w:rFonts w:ascii="仿宋" w:hAnsi="仿宋" w:eastAsia="仿宋"/>
                <w:bCs/>
                <w:szCs w:val="21"/>
                <w:highlight w:val="none"/>
              </w:rPr>
              <w:t>将</w:t>
            </w:r>
            <w:r>
              <w:rPr>
                <w:rFonts w:hint="eastAsia" w:ascii="仿宋" w:hAnsi="仿宋" w:eastAsia="仿宋"/>
                <w:bCs/>
                <w:szCs w:val="21"/>
                <w:highlight w:val="none"/>
              </w:rPr>
              <w:t>予以</w:t>
            </w:r>
            <w:r>
              <w:rPr>
                <w:rFonts w:ascii="仿宋" w:hAnsi="仿宋" w:eastAsia="仿宋"/>
                <w:bCs/>
                <w:szCs w:val="21"/>
                <w:highlight w:val="none"/>
              </w:rPr>
              <w:t>代扣代缴。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cs="宋体"/>
                <w:szCs w:val="21"/>
                <w:highlight w:val="none"/>
              </w:rPr>
              <w:t>其他规定</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本理财产品募集期认购资金计息规则、到期/终止日（不含）至资金到账日（不含）之间兑付资金计息规则，由华夏理财销售的，以华夏理财渠道披露的理财产品销售协议书约定为准；由代销机构销售的，按照代销机构与投资者约定的计息方式执行。</w:t>
            </w:r>
          </w:p>
        </w:tc>
      </w:tr>
    </w:tbl>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lang w:val="en-US" w:eastAsia="zh-CN"/>
        </w:rPr>
        <w:t>二、</w:t>
      </w:r>
      <w:r>
        <w:rPr>
          <w:rFonts w:hint="eastAsia" w:ascii="Times New Roman" w:eastAsia="黑体" w:cs="Times New Roman"/>
          <w:b/>
          <w:color w:val="auto"/>
          <w:highlight w:val="none"/>
        </w:rPr>
        <w:t>投资对象</w:t>
      </w:r>
    </w:p>
    <w:p>
      <w:pPr>
        <w:pStyle w:val="1"/>
        <w:keepNext w:val="0"/>
        <w:keepLines w:val="0"/>
        <w:pageBreakBefore w:val="0"/>
        <w:bidi w:val="0"/>
        <w:spacing w:line="276" w:lineRule="auto"/>
        <w:ind w:right="0" w:firstLine="480"/>
        <w:jc w:val="both"/>
        <w:rPr>
          <w:rFonts w:hint="eastAsia" w:ascii="仿宋" w:hAnsi="仿宋" w:eastAsia="仿宋" w:cs="宋体"/>
          <w:color w:val="000000"/>
          <w:sz w:val="24"/>
          <w:szCs w:val="24"/>
          <w:highlight w:val="none"/>
          <w:u w:val="none"/>
        </w:rPr>
      </w:pPr>
      <w:r>
        <w:rPr>
          <w:rFonts w:hint="eastAsia" w:ascii="仿宋" w:hAnsi="仿宋" w:eastAsia="仿宋"/>
          <w:bCs/>
          <w:sz w:val="24"/>
          <w:szCs w:val="24"/>
          <w:highlight w:val="none"/>
          <w:u w:val="none"/>
          <w:lang w:val="en-US" w:eastAsia="zh-CN"/>
        </w:rPr>
        <w:t xml:space="preserve">本产品100%投资于固定收益类金融工具，包括货币市场工具、标准化债权类资产及其他符合监管要求的固定收益类金融工具。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t xml:space="preserve">本产品可通过信托、证券、基金、期货、保险资产管理机构等依法设立的资产管理产品以及其他符合国家相关政策、法律法规的投资渠道和方式实现对上述投资品种的投资。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t xml:space="preserve">本产品可以按照国务院金融管理部门相关规定开展回购业务，回购业务中可接受押品的资质要求与本说明书约定的投资范围保持一致。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t xml:space="preserve">其中货币市场工具包括但不限于银行存款、大额存单、同业存单（CD）、短期融资券、超短期融资券、剩余期限在397天以内（含397天）的债券、期限在一年以内（含一年）的债券回购、期限在一年以内（含一年）的中央银行票据以及监管机构认可的其他具有良好流动性的金融工具；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t xml:space="preserve">标准化债权类资产包括但不限于国债、中央银行票据、地方政府债券、政府支持机构债券、金融债券、非金融企业债务融资工具、公司债券、企业债券、国际机构债券、同业存单、信贷资产支持证券、资产支持票据、证券交易所挂牌交易的资产支持证券、货币市场基金、债券型公募证券投资基金，以及《标准化债权类资产认定规则》认定的标准化债权类资产等。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t xml:space="preserve">产品的投资范围可能随国家法律法规及监管政策的变化而调整，如法律法规或监管机构以后允许理财产品投资其他品种，可在公告后，将其纳入投资范围，投资比例将遵循法律法规或相关规定。 </w:t>
      </w:r>
    </w:p>
    <w:p>
      <w:pPr>
        <w:pStyle w:val="1"/>
        <w:keepNext/>
        <w:widowControl/>
        <w:spacing w:line="276" w:lineRule="auto"/>
        <w:ind w:firstLine="480"/>
        <w:contextualSpacing/>
        <w:jc w:val="left"/>
        <w:rPr>
          <w:rFonts w:ascii="仿宋" w:hAnsi="仿宋" w:eastAsia="仿宋" w:cs="宋体"/>
          <w:color w:val="000000"/>
          <w:sz w:val="24"/>
          <w:highlight w:val="none"/>
        </w:rPr>
      </w:pPr>
      <w:r>
        <w:rPr>
          <w:rFonts w:hint="eastAsia" w:ascii="仿宋" w:hAnsi="仿宋" w:eastAsia="仿宋" w:cs="宋体"/>
          <w:color w:val="000000"/>
          <w:sz w:val="24"/>
          <w:highlight w:val="none"/>
        </w:rPr>
        <w:t>各类资产投资比例如下：</w:t>
      </w:r>
    </w:p>
    <w:tbl>
      <w:tblPr>
        <w:tblStyle w:val="21"/>
        <w:tblW w:w="7871"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291"/>
        <w:gridCol w:w="2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7" w:hRule="atLeast"/>
          <w:tblCellSpacing w:w="0" w:type="dxa"/>
          <w:jc w:val="center"/>
        </w:trPr>
        <w:tc>
          <w:tcPr>
            <w:tcW w:w="5291" w:type="dxa"/>
            <w:tcBorders>
              <w:top w:val="single" w:color="auto" w:sz="4" w:space="0"/>
              <w:left w:val="single" w:color="auto" w:sz="4" w:space="0"/>
              <w:bottom w:val="single" w:color="auto" w:sz="4" w:space="0"/>
              <w:right w:val="single" w:color="auto" w:sz="4" w:space="0"/>
            </w:tcBorders>
            <w:noWrap w:val="0"/>
            <w:vAlign w:val="center"/>
          </w:tcPr>
          <w:p>
            <w:pPr>
              <w:keepNext/>
              <w:jc w:val="center"/>
              <w:rPr>
                <w:rFonts w:eastAsia="仿宋"/>
                <w:color w:val="000000"/>
                <w:sz w:val="24"/>
                <w:szCs w:val="24"/>
                <w:highlight w:val="none"/>
              </w:rPr>
            </w:pPr>
            <w:r>
              <w:rPr>
                <w:rFonts w:hint="eastAsia" w:eastAsia="仿宋"/>
                <w:color w:val="000000"/>
                <w:sz w:val="24"/>
                <w:szCs w:val="24"/>
                <w:highlight w:val="none"/>
              </w:rPr>
              <w:t>资产</w:t>
            </w:r>
            <w:r>
              <w:rPr>
                <w:rFonts w:eastAsia="仿宋"/>
                <w:color w:val="000000"/>
                <w:sz w:val="24"/>
                <w:szCs w:val="24"/>
                <w:highlight w:val="none"/>
              </w:rPr>
              <w:t>类别</w:t>
            </w:r>
          </w:p>
        </w:tc>
        <w:tc>
          <w:tcPr>
            <w:tcW w:w="2580" w:type="dxa"/>
            <w:tcBorders>
              <w:top w:val="single" w:color="auto" w:sz="4" w:space="0"/>
              <w:left w:val="single" w:color="auto" w:sz="4" w:space="0"/>
              <w:bottom w:val="single" w:color="auto" w:sz="4" w:space="0"/>
              <w:right w:val="single" w:color="auto" w:sz="4" w:space="0"/>
            </w:tcBorders>
            <w:noWrap w:val="0"/>
            <w:vAlign w:val="center"/>
          </w:tcPr>
          <w:p>
            <w:pPr>
              <w:keepNext/>
              <w:jc w:val="center"/>
              <w:rPr>
                <w:rFonts w:eastAsia="仿宋"/>
                <w:color w:val="000000"/>
                <w:sz w:val="24"/>
                <w:szCs w:val="24"/>
                <w:highlight w:val="none"/>
              </w:rPr>
            </w:pPr>
            <w:r>
              <w:rPr>
                <w:rFonts w:eastAsia="仿宋"/>
                <w:color w:val="000000"/>
                <w:sz w:val="24"/>
                <w:szCs w:val="24"/>
                <w:highlight w:val="none"/>
              </w:rPr>
              <w:t>投资比例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7" w:hRule="atLeast"/>
          <w:tblCellSpacing w:w="0" w:type="dxa"/>
          <w:jc w:val="center"/>
        </w:trPr>
        <w:tc>
          <w:tcPr>
            <w:tcW w:w="5291"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 w:cs="Times New Roman"/>
                <w:color w:val="000000"/>
                <w:sz w:val="24"/>
                <w:szCs w:val="24"/>
                <w:highlight w:val="none"/>
                <w:lang w:val="en-US" w:eastAsia="zh-CN" w:bidi="ar-SA"/>
              </w:rPr>
            </w:pPr>
            <w:r>
              <w:rPr>
                <w:rFonts w:hint="eastAsia" w:ascii="仿宋" w:hAnsi="仿宋" w:eastAsia="仿宋" w:cs="宋体"/>
                <w:sz w:val="24"/>
                <w:szCs w:val="24"/>
                <w:highlight w:val="none"/>
                <w:lang w:val="en-US" w:eastAsia="zh-CN"/>
              </w:rPr>
              <w:t>货币市场工具</w:t>
            </w:r>
          </w:p>
        </w:tc>
        <w:tc>
          <w:tcPr>
            <w:tcW w:w="258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 w:cs="Times New Roman"/>
                <w:color w:val="000000"/>
                <w:sz w:val="24"/>
                <w:szCs w:val="24"/>
                <w:highlight w:val="none"/>
                <w:lang w:val="en-US" w:eastAsia="zh-CN" w:bidi="ar-SA"/>
              </w:rPr>
            </w:pPr>
            <w:r>
              <w:rPr>
                <w:rFonts w:hint="eastAsia" w:ascii="仿宋" w:hAnsi="仿宋" w:eastAsia="仿宋" w:cs="宋体"/>
                <w:sz w:val="24"/>
                <w:szCs w:val="24"/>
                <w:highlight w:val="none"/>
                <w:lang w:val="en-US" w:eastAsia="zh-CN"/>
              </w:rPr>
              <w:t>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7" w:hRule="atLeast"/>
          <w:tblCellSpacing w:w="0" w:type="dxa"/>
          <w:jc w:val="center"/>
        </w:trPr>
        <w:tc>
          <w:tcPr>
            <w:tcW w:w="5291" w:type="dxa"/>
            <w:tcBorders>
              <w:top w:val="single" w:color="auto" w:sz="4" w:space="0"/>
              <w:left w:val="single" w:color="auto" w:sz="4" w:space="0"/>
              <w:bottom w:val="single" w:color="auto" w:sz="4" w:space="0"/>
              <w:right w:val="single" w:color="auto" w:sz="4" w:space="0"/>
            </w:tcBorders>
            <w:noWrap w:val="0"/>
            <w:vAlign w:val="center"/>
          </w:tcPr>
          <w:p>
            <w:pPr>
              <w:pageBreakBefore w:val="0"/>
              <w:jc w:val="center"/>
              <w:textAlignment w:val="auto"/>
              <w:rPr>
                <w:rFonts w:hint="default" w:ascii="Times New Roman" w:hAnsi="Times New Roman" w:eastAsia="宋体" w:cs="Times New Roman"/>
                <w:sz w:val="21"/>
                <w:szCs w:val="24"/>
                <w:highlight w:val="none"/>
                <w:lang w:val="en-US" w:eastAsia="zh-CN" w:bidi="ar-SA"/>
              </w:rPr>
            </w:pPr>
            <w:r>
              <w:rPr>
                <w:rFonts w:ascii="仿宋" w:hAnsi="仿宋" w:eastAsia="仿宋" w:cs="仿宋"/>
                <w:b w:val="0"/>
                <w:i w:val="0"/>
                <w:strike w:val="0"/>
                <w:color w:val="auto"/>
                <w:position w:val="-1"/>
                <w:sz w:val="24"/>
                <w:highlight w:val="none"/>
                <w:u w:val="none"/>
              </w:rPr>
              <w:t>标准化债权类资产</w:t>
            </w:r>
          </w:p>
        </w:tc>
        <w:tc>
          <w:tcPr>
            <w:tcW w:w="2580" w:type="dxa"/>
            <w:tcBorders>
              <w:top w:val="single" w:color="auto" w:sz="4" w:space="0"/>
              <w:left w:val="single" w:color="auto" w:sz="4" w:space="0"/>
              <w:bottom w:val="single" w:color="auto" w:sz="4" w:space="0"/>
              <w:right w:val="single" w:color="auto" w:sz="4" w:space="0"/>
            </w:tcBorders>
            <w:noWrap w:val="0"/>
            <w:vAlign w:val="center"/>
          </w:tcPr>
          <w:p>
            <w:pPr>
              <w:pageBreakBefore w:val="0"/>
              <w:jc w:val="center"/>
              <w:textAlignment w:val="auto"/>
              <w:rPr>
                <w:rFonts w:hint="default" w:ascii="Times New Roman" w:hAnsi="Times New Roman" w:eastAsia="宋体" w:cs="Times New Roman"/>
                <w:sz w:val="21"/>
                <w:szCs w:val="24"/>
                <w:highlight w:val="none"/>
                <w:lang w:val="en-US" w:eastAsia="zh-CN" w:bidi="ar-SA"/>
              </w:rPr>
            </w:pPr>
            <w:r>
              <w:rPr>
                <w:rFonts w:ascii="仿宋" w:hAnsi="仿宋" w:eastAsia="仿宋" w:cs="仿宋"/>
                <w:b w:val="0"/>
                <w:i w:val="0"/>
                <w:strike w:val="0"/>
                <w:color w:val="auto"/>
                <w:position w:val="-1"/>
                <w:sz w:val="24"/>
                <w:highlight w:val="none"/>
                <w:u w:val="none"/>
              </w:rPr>
              <w:t>0%-100%</w:t>
            </w:r>
          </w:p>
        </w:tc>
      </w:tr>
    </w:tbl>
    <w:p>
      <w:pPr>
        <w:pStyle w:val="1"/>
        <w:keepNext w:val="0"/>
        <w:keepLines w:val="0"/>
        <w:pageBreakBefore w:val="0"/>
        <w:widowControl/>
        <w:bidi w:val="0"/>
        <w:spacing w:line="276" w:lineRule="auto"/>
        <w:ind w:right="0" w:firstLine="480"/>
        <w:contextualSpacing/>
        <w:jc w:val="both"/>
        <w:rPr>
          <w:rFonts w:hint="eastAsia" w:ascii="仿宋" w:hAnsi="仿宋" w:eastAsia="仿宋" w:cs="宋体"/>
          <w:color w:val="000000"/>
          <w:sz w:val="24"/>
          <w:highlight w:val="none"/>
        </w:rPr>
      </w:pPr>
    </w:p>
    <w:p>
      <w:pPr>
        <w:pStyle w:val="1"/>
        <w:keepNext w:val="0"/>
        <w:keepLines w:val="0"/>
        <w:pageBreakBefore w:val="0"/>
        <w:widowControl/>
        <w:kinsoku/>
        <w:wordWrap/>
        <w:overflowPunct/>
        <w:topLinePunct w:val="0"/>
        <w:bidi w:val="0"/>
        <w:adjustRightInd/>
        <w:snapToGrid/>
        <w:spacing w:line="276" w:lineRule="auto"/>
        <w:ind w:right="0" w:firstLine="482" w:firstLineChars="200"/>
        <w:contextualSpacing/>
        <w:jc w:val="both"/>
        <w:textAlignment w:val="auto"/>
        <w:rPr>
          <w:rFonts w:hint="eastAsia" w:ascii="仿宋" w:hAnsi="仿宋" w:eastAsia="仿宋" w:cs="宋体"/>
          <w:b/>
          <w:bCs/>
          <w:color w:val="000000"/>
          <w:sz w:val="24"/>
          <w:highlight w:val="none"/>
        </w:rPr>
      </w:pPr>
      <w:r>
        <w:rPr>
          <w:rFonts w:hint="eastAsia" w:ascii="仿宋" w:hAnsi="仿宋" w:eastAsia="仿宋" w:cs="宋体"/>
          <w:b/>
          <w:bCs/>
          <w:color w:val="000000"/>
          <w:sz w:val="24"/>
          <w:highlight w:val="none"/>
        </w:rPr>
        <w:t>合作机构</w:t>
      </w:r>
    </w:p>
    <w:p>
      <w:pPr>
        <w:pStyle w:val="1"/>
        <w:keepNext w:val="0"/>
        <w:keepLines w:val="0"/>
        <w:pageBreakBefore w:val="0"/>
        <w:widowControl/>
        <w:kinsoku/>
        <w:wordWrap/>
        <w:overflowPunct/>
        <w:topLinePunct w:val="0"/>
        <w:bidi w:val="0"/>
        <w:adjustRightInd/>
        <w:snapToGrid/>
        <w:spacing w:line="276" w:lineRule="auto"/>
        <w:ind w:right="0" w:firstLine="480" w:firstLineChars="200"/>
        <w:contextualSpacing/>
        <w:jc w:val="both"/>
        <w:textAlignment w:val="auto"/>
        <w:rPr>
          <w:rFonts w:hint="eastAsia" w:ascii="仿宋" w:hAnsi="仿宋" w:eastAsia="仿宋" w:cs="宋体"/>
          <w:sz w:val="24"/>
          <w:szCs w:val="24"/>
          <w:highlight w:val="none"/>
        </w:rPr>
      </w:pPr>
      <w:r>
        <w:rPr>
          <w:rFonts w:hint="eastAsia" w:ascii="仿宋" w:hAnsi="仿宋" w:eastAsia="仿宋" w:cs="宋体"/>
          <w:sz w:val="24"/>
          <w:highlight w:val="none"/>
        </w:rPr>
        <w:t>本产品在运作过程中可根据需要选择投资合作机构，投资合作机构指理财产品所投资资产管理产品的发行机构、根据合同约定从事理财产品受托投资的机构以及与理财产品投资管理相关的投资顾问等机构。投资合作机构的主要职责为进行受托资金的投资管理，根据合同约定从事受托投资或提供投资顾问等服务，具体职责以管理人与投资合作机构签署的合同为准。</w:t>
      </w:r>
    </w:p>
    <w:p>
      <w:pPr>
        <w:pStyle w:val="1"/>
        <w:keepNext w:val="0"/>
        <w:keepLines w:val="0"/>
        <w:pageBreakBefore w:val="0"/>
        <w:widowControl/>
        <w:kinsoku/>
        <w:wordWrap/>
        <w:overflowPunct/>
        <w:topLinePunct w:val="0"/>
        <w:bidi w:val="0"/>
        <w:adjustRightInd/>
        <w:snapToGrid/>
        <w:spacing w:line="276" w:lineRule="auto"/>
        <w:ind w:right="0" w:firstLine="482" w:firstLineChars="200"/>
        <w:contextualSpacing/>
        <w:jc w:val="both"/>
        <w:textAlignment w:val="auto"/>
        <w:rPr>
          <w:rFonts w:hint="eastAsia" w:ascii="仿宋" w:hAnsi="仿宋" w:eastAsia="仿宋" w:cs="宋体"/>
          <w:b/>
          <w:bCs/>
          <w:sz w:val="24"/>
          <w:highlight w:val="none"/>
        </w:rPr>
      </w:pPr>
    </w:p>
    <w:p>
      <w:pPr>
        <w:pStyle w:val="1"/>
        <w:keepNext w:val="0"/>
        <w:keepLines w:val="0"/>
        <w:pageBreakBefore w:val="0"/>
        <w:widowControl/>
        <w:kinsoku/>
        <w:wordWrap/>
        <w:overflowPunct/>
        <w:topLinePunct w:val="0"/>
        <w:bidi w:val="0"/>
        <w:adjustRightInd/>
        <w:snapToGrid/>
        <w:spacing w:line="276" w:lineRule="auto"/>
        <w:ind w:right="0" w:firstLine="482" w:firstLineChars="200"/>
        <w:contextualSpacing/>
        <w:jc w:val="both"/>
        <w:textAlignment w:val="auto"/>
        <w:rPr>
          <w:rFonts w:ascii="仿宋" w:hAnsi="仿宋" w:eastAsia="仿宋" w:cs="宋体"/>
          <w:b/>
          <w:bCs/>
          <w:sz w:val="24"/>
          <w:highlight w:val="none"/>
        </w:rPr>
      </w:pPr>
      <w:r>
        <w:rPr>
          <w:rFonts w:hint="eastAsia" w:ascii="仿宋" w:hAnsi="仿宋" w:eastAsia="仿宋" w:cs="宋体"/>
          <w:b/>
          <w:bCs/>
          <w:color w:val="000000"/>
          <w:sz w:val="24"/>
          <w:highlight w:val="none"/>
        </w:rPr>
        <w:t>管理人应当自本理财产品成立日起</w:t>
      </w:r>
      <w:r>
        <w:rPr>
          <w:rFonts w:hint="eastAsia" w:ascii="仿宋" w:hAnsi="仿宋" w:eastAsia="仿宋" w:cs="宋体"/>
          <w:b/>
          <w:bCs/>
          <w:color w:val="000000"/>
          <w:sz w:val="24"/>
          <w:highlight w:val="none"/>
        </w:rPr>
        <w:t>1</w:t>
      </w:r>
      <w:r>
        <w:rPr>
          <w:rFonts w:hint="eastAsia" w:ascii="仿宋" w:hAnsi="仿宋" w:eastAsia="仿宋" w:cs="宋体"/>
          <w:b/>
          <w:bCs/>
          <w:sz w:val="24"/>
          <w:highlight w:val="none"/>
        </w:rPr>
        <w:t>个月</w:t>
      </w:r>
      <w:r>
        <w:rPr>
          <w:rFonts w:hint="eastAsia" w:ascii="仿宋" w:hAnsi="仿宋" w:eastAsia="仿宋" w:cs="宋体"/>
          <w:b/>
          <w:bCs/>
          <w:color w:val="000000"/>
          <w:sz w:val="24"/>
          <w:highlight w:val="none"/>
        </w:rPr>
        <w:t>内使本产品的投资比例符合上述约定。</w:t>
      </w:r>
    </w:p>
    <w:p>
      <w:pPr>
        <w:pStyle w:val="1"/>
        <w:keepNext w:val="0"/>
        <w:keepLines w:val="0"/>
        <w:pageBreakBefore w:val="0"/>
        <w:widowControl/>
        <w:kinsoku/>
        <w:wordWrap/>
        <w:overflowPunct/>
        <w:topLinePunct w:val="0"/>
        <w:bidi w:val="0"/>
        <w:adjustRightInd/>
        <w:snapToGrid/>
        <w:spacing w:line="276" w:lineRule="auto"/>
        <w:ind w:right="0" w:firstLine="482" w:firstLineChars="200"/>
        <w:contextualSpacing/>
        <w:jc w:val="both"/>
        <w:textAlignment w:val="auto"/>
        <w:rPr>
          <w:rFonts w:ascii="仿宋" w:hAnsi="仿宋" w:eastAsia="仿宋" w:cs="宋体"/>
          <w:b/>
          <w:bCs/>
          <w:sz w:val="24"/>
          <w:highlight w:val="none"/>
        </w:rPr>
      </w:pPr>
      <w:r>
        <w:rPr>
          <w:rFonts w:hint="eastAsia" w:ascii="仿宋" w:hAnsi="仿宋" w:eastAsia="仿宋" w:cs="宋体"/>
          <w:b/>
          <w:bCs/>
          <w:sz w:val="24"/>
          <w:highlight w:val="none"/>
        </w:rPr>
        <w:t>如资产类别及投资比例发生调整，管理人将于调整事项生效前</w:t>
      </w:r>
      <w:r>
        <w:rPr>
          <w:rFonts w:ascii="仿宋" w:hAnsi="仿宋" w:eastAsia="仿宋" w:cs="宋体"/>
          <w:b/>
          <w:bCs/>
          <w:sz w:val="24"/>
          <w:highlight w:val="none"/>
        </w:rPr>
        <w:t>3</w:t>
      </w:r>
      <w:r>
        <w:rPr>
          <w:rFonts w:hint="eastAsia" w:ascii="仿宋" w:hAnsi="仿宋" w:eastAsia="仿宋" w:cs="宋体"/>
          <w:b/>
          <w:bCs/>
          <w:sz w:val="24"/>
          <w:highlight w:val="none"/>
        </w:rPr>
        <w:t>个工作日通过本产品说明书约定的信息披露渠道予以公告。</w:t>
      </w:r>
      <w:r>
        <w:rPr>
          <w:rFonts w:hint="eastAsia" w:ascii="仿宋" w:hAnsi="仿宋" w:eastAsia="仿宋" w:cs="宋体"/>
          <w:sz w:val="24"/>
          <w:highlight w:val="none"/>
        </w:rPr>
        <w:t>若本理财产品的投资</w:t>
      </w:r>
      <w:r>
        <w:rPr>
          <w:rFonts w:hint="eastAsia" w:ascii="仿宋" w:hAnsi="仿宋" w:eastAsia="仿宋" w:cs="宋体"/>
          <w:sz w:val="24"/>
          <w:highlight w:val="none"/>
          <w:lang w:val="en-US" w:eastAsia="zh-CN"/>
        </w:rPr>
        <w:t>者</w:t>
      </w:r>
      <w:r>
        <w:rPr>
          <w:rFonts w:hint="eastAsia" w:ascii="仿宋" w:hAnsi="仿宋" w:eastAsia="仿宋" w:cs="宋体"/>
          <w:sz w:val="24"/>
          <w:highlight w:val="none"/>
        </w:rPr>
        <w:t>不接受上述调整，则应在公告规定时间内提前赎回本理财产品；</w:t>
      </w:r>
      <w:r>
        <w:rPr>
          <w:rFonts w:hint="eastAsia" w:ascii="仿宋" w:hAnsi="仿宋" w:eastAsia="仿宋" w:cs="宋体"/>
          <w:b/>
          <w:bCs/>
          <w:sz w:val="24"/>
          <w:highlight w:val="none"/>
        </w:rPr>
        <w:t>若本理财产品投资</w:t>
      </w:r>
      <w:r>
        <w:rPr>
          <w:rFonts w:hint="eastAsia" w:ascii="仿宋" w:hAnsi="仿宋" w:eastAsia="仿宋" w:cs="宋体"/>
          <w:b/>
          <w:bCs/>
          <w:sz w:val="24"/>
          <w:highlight w:val="none"/>
          <w:lang w:val="en-US" w:eastAsia="zh-CN"/>
        </w:rPr>
        <w:t>者</w:t>
      </w:r>
      <w:r>
        <w:rPr>
          <w:rFonts w:hint="eastAsia" w:ascii="仿宋" w:hAnsi="仿宋" w:eastAsia="仿宋" w:cs="宋体"/>
          <w:b/>
          <w:bCs/>
          <w:sz w:val="24"/>
          <w:highlight w:val="none"/>
        </w:rPr>
        <w:t>未在公告规定时间内提前赎回本理财产品，则视为其对相关调整无异议且同意在调整后继续持有本理财产品。</w:t>
      </w:r>
    </w:p>
    <w:p>
      <w:pPr>
        <w:pStyle w:val="1"/>
        <w:keepNext w:val="0"/>
        <w:keepLines w:val="0"/>
        <w:pageBreakBefore w:val="0"/>
        <w:widowControl/>
        <w:kinsoku/>
        <w:wordWrap/>
        <w:overflowPunct/>
        <w:topLinePunct w:val="0"/>
        <w:bidi w:val="0"/>
        <w:adjustRightInd/>
        <w:snapToGrid/>
        <w:spacing w:line="276" w:lineRule="auto"/>
        <w:ind w:right="0"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非因管理人主观因素导致本理财产品</w:t>
      </w:r>
      <w:r>
        <w:rPr>
          <w:rFonts w:hint="eastAsia" w:ascii="仿宋" w:hAnsi="仿宋" w:eastAsia="仿宋" w:cs="宋体"/>
          <w:color w:val="000000"/>
          <w:sz w:val="24"/>
          <w:highlight w:val="none"/>
        </w:rPr>
        <w:t>突破上述投资比例限制的</w:t>
      </w:r>
      <w:r>
        <w:rPr>
          <w:rFonts w:hint="eastAsia" w:ascii="仿宋" w:hAnsi="仿宋" w:eastAsia="仿宋" w:cs="宋体"/>
          <w:sz w:val="24"/>
          <w:highlight w:val="none"/>
        </w:rPr>
        <w:t>，管理人应当在所投资的</w:t>
      </w:r>
      <w:r>
        <w:rPr>
          <w:rFonts w:hint="eastAsia" w:ascii="仿宋" w:hAnsi="仿宋" w:eastAsia="仿宋"/>
          <w:sz w:val="24"/>
          <w:highlight w:val="none"/>
        </w:rPr>
        <w:t>流动性受限资产可出售、可转让或者恢复交易的15</w:t>
      </w:r>
      <w:r>
        <w:rPr>
          <w:rFonts w:hint="eastAsia" w:ascii="仿宋" w:hAnsi="仿宋" w:eastAsia="仿宋" w:cs="宋体"/>
          <w:sz w:val="24"/>
          <w:highlight w:val="none"/>
        </w:rPr>
        <w:t>个工作日内</w:t>
      </w:r>
      <w:r>
        <w:rPr>
          <w:rFonts w:hint="eastAsia" w:ascii="仿宋" w:hAnsi="仿宋" w:eastAsia="仿宋" w:cs="宋体"/>
          <w:color w:val="000000"/>
          <w:sz w:val="24"/>
          <w:highlight w:val="none"/>
        </w:rPr>
        <w:t>将本理财产品所投资资产调整至上述投资比例范围内，监管规定的特殊情形除外</w:t>
      </w:r>
      <w:r>
        <w:rPr>
          <w:rFonts w:hint="eastAsia" w:ascii="仿宋" w:hAnsi="仿宋" w:eastAsia="仿宋" w:cs="宋体"/>
          <w:sz w:val="24"/>
          <w:highlight w:val="none"/>
        </w:rPr>
        <w:t>。</w:t>
      </w:r>
      <w:r>
        <w:rPr>
          <w:rFonts w:hint="eastAsia" w:ascii="仿宋" w:hAnsi="仿宋" w:eastAsia="仿宋" w:cs="宋体"/>
          <w:color w:val="000000"/>
          <w:sz w:val="24"/>
          <w:highlight w:val="none"/>
        </w:rPr>
        <w:t>流动性受限资产，是指由于法律法规、监管、合同或操作障碍等原因无法以合理价格予以变现的资产，包括到期日在10个工作日以上的逆回购与银行定期存款（含协议约定有条件提前支取的银行存款）、距赎回日在10个工作日以上的资产管理产品、停牌股票、流通受限的新股及非公开发行股票、资产支持证券（票据），因发行人债务违约无法进行转让或交易的债券和非金融企业债务融资工具，以及其他流动性受限资产。</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三、理财产品相关主体的基本情况</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cs="宋体"/>
          <w:sz w:val="24"/>
          <w:highlight w:val="none"/>
          <w:lang w:val="en-US" w:eastAsia="zh-CN"/>
        </w:rPr>
      </w:pPr>
      <w:r>
        <w:rPr>
          <w:rFonts w:hint="eastAsia" w:ascii="仿宋" w:hAnsi="仿宋" w:eastAsia="仿宋" w:cs="宋体"/>
          <w:sz w:val="24"/>
          <w:highlight w:val="none"/>
        </w:rPr>
        <w:t>（一）</w:t>
      </w:r>
      <w:r>
        <w:rPr>
          <w:rFonts w:hint="eastAsia" w:ascii="仿宋" w:hAnsi="仿宋" w:eastAsia="仿宋" w:cs="宋体"/>
          <w:sz w:val="24"/>
          <w:highlight w:val="none"/>
          <w:lang w:val="en-US" w:eastAsia="zh-CN"/>
        </w:rPr>
        <w:t>产品管理人</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本</w:t>
      </w:r>
      <w:r>
        <w:rPr>
          <w:rFonts w:hint="eastAsia" w:ascii="仿宋" w:hAnsi="仿宋" w:eastAsia="仿宋" w:cs="宋体"/>
          <w:sz w:val="24"/>
          <w:highlight w:val="none"/>
        </w:rPr>
        <w:t>理财</w:t>
      </w:r>
      <w:r>
        <w:rPr>
          <w:rFonts w:ascii="仿宋" w:hAnsi="仿宋" w:eastAsia="仿宋" w:cs="宋体"/>
          <w:sz w:val="24"/>
          <w:highlight w:val="none"/>
        </w:rPr>
        <w:t>产品管理人为华夏理财有限责任公司。</w:t>
      </w:r>
    </w:p>
    <w:p>
      <w:pPr>
        <w:pStyle w:val="1"/>
        <w:keepLines w:val="0"/>
        <w:pageBreakBefore w:val="0"/>
        <w:widowControl/>
        <w:kinsoku/>
        <w:wordWrap/>
        <w:overflowPunct/>
        <w:topLinePunct w:val="0"/>
        <w:bidi w:val="0"/>
        <w:adjustRightInd/>
        <w:snapToGrid/>
        <w:spacing w:line="276" w:lineRule="auto"/>
        <w:ind w:firstLine="480" w:firstLineChars="200"/>
        <w:contextualSpacing/>
        <w:textAlignment w:val="auto"/>
        <w:rPr>
          <w:rFonts w:hint="eastAsia" w:ascii="仿宋" w:hAnsi="仿宋" w:eastAsia="仿宋" w:cs="宋体"/>
          <w:color w:val="000000"/>
          <w:kern w:val="0"/>
          <w:sz w:val="24"/>
          <w:highlight w:val="none"/>
        </w:rPr>
      </w:pPr>
      <w:r>
        <w:rPr>
          <w:rFonts w:hint="eastAsia" w:ascii="仿宋" w:hAnsi="仿宋" w:eastAsia="仿宋" w:cs="宋体"/>
          <w:color w:val="000000"/>
          <w:kern w:val="0"/>
          <w:sz w:val="24"/>
          <w:highlight w:val="none"/>
        </w:rPr>
        <w:t>1</w:t>
      </w:r>
      <w:r>
        <w:rPr>
          <w:rFonts w:hint="eastAsia" w:ascii="仿宋" w:hAnsi="仿宋" w:eastAsia="仿宋" w:cs="宋体"/>
          <w:kern w:val="0"/>
          <w:sz w:val="24"/>
          <w:highlight w:val="none"/>
        </w:rPr>
        <w:t>.</w:t>
      </w:r>
      <w:r>
        <w:rPr>
          <w:rFonts w:hint="eastAsia" w:ascii="仿宋" w:hAnsi="仿宋" w:eastAsia="仿宋" w:cs="宋体"/>
          <w:color w:val="000000"/>
          <w:kern w:val="0"/>
          <w:sz w:val="24"/>
          <w:highlight w:val="none"/>
        </w:rPr>
        <w:t>基本信息</w:t>
      </w:r>
    </w:p>
    <w:p>
      <w:pPr>
        <w:pStyle w:val="183"/>
        <w:keepLines w:val="0"/>
        <w:pageBreakBefore w:val="0"/>
        <w:kinsoku/>
        <w:wordWrap/>
        <w:overflowPunct/>
        <w:topLinePunct w:val="0"/>
        <w:bidi w:val="0"/>
        <w:adjustRightInd/>
        <w:snapToGrid/>
        <w:spacing w:line="276" w:lineRule="auto"/>
        <w:ind w:firstLine="480" w:firstLineChars="200"/>
        <w:jc w:val="both"/>
        <w:textAlignment w:val="auto"/>
        <w:rPr>
          <w:rFonts w:ascii="仿宋" w:hAnsi="仿宋" w:eastAsia="仿宋"/>
          <w:highlight w:val="none"/>
        </w:rPr>
      </w:pPr>
      <w:r>
        <w:rPr>
          <w:rFonts w:hint="eastAsia" w:ascii="仿宋" w:hAnsi="仿宋" w:eastAsia="仿宋"/>
          <w:highlight w:val="none"/>
        </w:rPr>
        <w:t>名    称：</w:t>
      </w:r>
      <w:r>
        <w:rPr>
          <w:rFonts w:ascii="仿宋" w:hAnsi="仿宋" w:eastAsia="仿宋"/>
          <w:highlight w:val="none"/>
        </w:rPr>
        <w:t>华夏理财有限责任公司</w:t>
      </w:r>
    </w:p>
    <w:p>
      <w:pPr>
        <w:pStyle w:val="183"/>
        <w:keepLines w:val="0"/>
        <w:pageBreakBefore w:val="0"/>
        <w:kinsoku/>
        <w:wordWrap/>
        <w:overflowPunct/>
        <w:topLinePunct w:val="0"/>
        <w:bidi w:val="0"/>
        <w:adjustRightInd/>
        <w:snapToGrid/>
        <w:spacing w:line="276" w:lineRule="auto"/>
        <w:ind w:firstLine="480" w:firstLineChars="200"/>
        <w:jc w:val="both"/>
        <w:textAlignment w:val="auto"/>
        <w:rPr>
          <w:rFonts w:ascii="仿宋" w:hAnsi="仿宋" w:eastAsia="仿宋"/>
          <w:highlight w:val="none"/>
        </w:rPr>
      </w:pPr>
      <w:r>
        <w:rPr>
          <w:rFonts w:hint="eastAsia" w:ascii="仿宋" w:hAnsi="仿宋" w:eastAsia="仿宋"/>
          <w:highlight w:val="none"/>
        </w:rPr>
        <w:t>住    所：</w:t>
      </w:r>
      <w:r>
        <w:rPr>
          <w:rFonts w:hint="eastAsia" w:ascii="仿宋" w:hAnsi="仿宋" w:eastAsia="仿宋" w:cs="宋体"/>
          <w:color w:val="000000"/>
          <w:kern w:val="0"/>
          <w:sz w:val="24"/>
          <w:szCs w:val="24"/>
          <w:highlight w:val="none"/>
          <w:lang w:val="en-US" w:eastAsia="zh-CN"/>
        </w:rPr>
        <w:t>北京市通州区新华东街11号院2号楼三层3006室</w:t>
      </w:r>
    </w:p>
    <w:p>
      <w:pPr>
        <w:pStyle w:val="183"/>
        <w:keepLines w:val="0"/>
        <w:pageBreakBefore w:val="0"/>
        <w:kinsoku/>
        <w:wordWrap/>
        <w:overflowPunct/>
        <w:topLinePunct w:val="0"/>
        <w:bidi w:val="0"/>
        <w:adjustRightInd/>
        <w:snapToGrid/>
        <w:spacing w:line="276" w:lineRule="auto"/>
        <w:ind w:firstLine="480" w:firstLineChars="200"/>
        <w:jc w:val="both"/>
        <w:textAlignment w:val="auto"/>
        <w:rPr>
          <w:rFonts w:hint="eastAsia" w:ascii="仿宋" w:hAnsi="仿宋" w:eastAsia="仿宋"/>
          <w:highlight w:val="none"/>
        </w:rPr>
      </w:pPr>
      <w:r>
        <w:rPr>
          <w:rFonts w:hint="eastAsia" w:ascii="仿宋" w:hAnsi="仿宋" w:eastAsia="仿宋"/>
          <w:highlight w:val="none"/>
        </w:rPr>
        <w:t>联系方式：4001795577</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cs="宋体"/>
          <w:sz w:val="24"/>
          <w:highlight w:val="none"/>
          <w:lang w:val="en-US" w:eastAsia="zh-CN"/>
        </w:rPr>
      </w:pPr>
      <w:r>
        <w:rPr>
          <w:rFonts w:hint="eastAsia" w:ascii="仿宋" w:hAnsi="仿宋" w:eastAsia="仿宋" w:cs="宋体"/>
          <w:sz w:val="24"/>
          <w:highlight w:val="none"/>
        </w:rPr>
        <w:t>（二）</w:t>
      </w:r>
      <w:r>
        <w:rPr>
          <w:rFonts w:hint="eastAsia" w:ascii="仿宋" w:hAnsi="仿宋" w:eastAsia="仿宋" w:cs="宋体"/>
          <w:sz w:val="24"/>
          <w:highlight w:val="none"/>
          <w:lang w:val="en-US" w:eastAsia="zh-CN"/>
        </w:rPr>
        <w:t>托管机构</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本理财产品</w:t>
      </w:r>
      <w:r>
        <w:rPr>
          <w:rFonts w:hint="eastAsia" w:ascii="仿宋" w:hAnsi="仿宋" w:eastAsia="仿宋" w:cs="宋体"/>
          <w:sz w:val="24"/>
          <w:highlight w:val="none"/>
        </w:rPr>
        <w:t>托管</w:t>
      </w:r>
      <w:r>
        <w:rPr>
          <w:rFonts w:hint="eastAsia" w:ascii="仿宋" w:hAnsi="仿宋" w:eastAsia="仿宋" w:cs="宋体"/>
          <w:sz w:val="24"/>
          <w:highlight w:val="none"/>
          <w:lang w:val="en-US" w:eastAsia="zh-CN"/>
        </w:rPr>
        <w:t>机构</w:t>
      </w:r>
      <w:r>
        <w:rPr>
          <w:rFonts w:hint="eastAsia" w:ascii="仿宋" w:hAnsi="仿宋" w:eastAsia="仿宋" w:cs="宋体"/>
          <w:color w:val="000000"/>
          <w:sz w:val="24"/>
          <w:highlight w:val="none"/>
        </w:rPr>
        <w:t>为</w:t>
      </w:r>
      <w:r>
        <w:rPr>
          <w:rFonts w:ascii="仿宋" w:hAnsi="仿宋" w:eastAsia="仿宋" w:cs="宋体"/>
          <w:sz w:val="24"/>
          <w:highlight w:val="none"/>
        </w:rPr>
        <w:t>华夏银行股份有限公司</w:t>
      </w:r>
      <w:r>
        <w:rPr>
          <w:rFonts w:hint="eastAsia" w:ascii="仿宋" w:hAnsi="仿宋" w:eastAsia="仿宋" w:cs="宋体"/>
          <w:sz w:val="24"/>
          <w:highlight w:val="none"/>
        </w:rPr>
        <w:t>。</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cs="宋体"/>
          <w:color w:val="000000"/>
          <w:sz w:val="24"/>
          <w:highlight w:val="none"/>
        </w:rPr>
      </w:pPr>
      <w:r>
        <w:rPr>
          <w:rFonts w:hint="eastAsia" w:ascii="仿宋" w:hAnsi="仿宋" w:eastAsia="仿宋" w:cs="宋体"/>
          <w:color w:val="000000"/>
          <w:sz w:val="24"/>
          <w:highlight w:val="none"/>
        </w:rPr>
        <w:t>1</w:t>
      </w:r>
      <w:r>
        <w:rPr>
          <w:rFonts w:hint="eastAsia" w:ascii="仿宋" w:hAnsi="仿宋" w:eastAsia="仿宋" w:cs="宋体"/>
          <w:sz w:val="24"/>
          <w:highlight w:val="none"/>
          <w:lang w:val="en-US" w:eastAsia="zh-CN"/>
        </w:rPr>
        <w:t>.</w:t>
      </w:r>
      <w:r>
        <w:rPr>
          <w:rFonts w:hint="eastAsia" w:ascii="仿宋" w:hAnsi="仿宋" w:eastAsia="仿宋" w:cs="宋体"/>
          <w:color w:val="000000"/>
          <w:sz w:val="24"/>
          <w:highlight w:val="none"/>
        </w:rPr>
        <w:t>基本信息</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sz w:val="24"/>
          <w:szCs w:val="24"/>
          <w:highlight w:val="none"/>
        </w:rPr>
        <w:t>名    称：</w:t>
      </w:r>
      <w:r>
        <w:rPr>
          <w:rFonts w:ascii="仿宋" w:hAnsi="仿宋" w:eastAsia="仿宋" w:cs="宋体"/>
          <w:sz w:val="24"/>
          <w:szCs w:val="24"/>
          <w:highlight w:val="none"/>
        </w:rPr>
        <w:t>华夏银行股份有限公司</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szCs w:val="24"/>
          <w:highlight w:val="none"/>
        </w:rPr>
      </w:pPr>
      <w:r>
        <w:rPr>
          <w:rFonts w:hint="eastAsia" w:ascii="仿宋" w:hAnsi="仿宋" w:eastAsia="仿宋"/>
          <w:sz w:val="24"/>
          <w:szCs w:val="24"/>
          <w:highlight w:val="none"/>
        </w:rPr>
        <w:t>住    所</w:t>
      </w:r>
      <w:r>
        <w:rPr>
          <w:rFonts w:hint="eastAsia" w:ascii="仿宋" w:hAnsi="仿宋" w:eastAsia="仿宋" w:cs="宋体"/>
          <w:color w:val="000000"/>
          <w:sz w:val="24"/>
          <w:szCs w:val="24"/>
          <w:highlight w:val="none"/>
        </w:rPr>
        <w:t>：</w:t>
      </w:r>
      <w:r>
        <w:rPr>
          <w:rFonts w:ascii="仿宋" w:hAnsi="仿宋" w:eastAsia="仿宋" w:cs="宋体"/>
          <w:color w:val="000000"/>
          <w:sz w:val="24"/>
          <w:szCs w:val="24"/>
          <w:highlight w:val="none"/>
        </w:rPr>
        <w:t>北京市东城区建国门内大街22号</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szCs w:val="24"/>
          <w:highlight w:val="none"/>
        </w:rPr>
      </w:pPr>
      <w:r>
        <w:rPr>
          <w:rFonts w:hint="eastAsia" w:ascii="仿宋" w:hAnsi="仿宋" w:eastAsia="仿宋" w:cs="宋体"/>
          <w:color w:val="000000"/>
          <w:sz w:val="24"/>
          <w:szCs w:val="24"/>
          <w:highlight w:val="none"/>
          <w:lang w:val="en-US" w:eastAsia="zh-CN" w:bidi="ar-SA"/>
        </w:rPr>
        <w:t>联系方式：</w:t>
      </w:r>
      <w:r>
        <w:rPr>
          <w:rFonts w:ascii="仿宋" w:hAnsi="仿宋" w:eastAsia="仿宋" w:cs="宋体"/>
          <w:sz w:val="24"/>
          <w:szCs w:val="24"/>
          <w:highlight w:val="none"/>
        </w:rPr>
        <w:t>95577</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2</w:t>
      </w:r>
      <w:r>
        <w:rPr>
          <w:rFonts w:hint="eastAsia" w:ascii="仿宋" w:hAnsi="仿宋" w:eastAsia="仿宋" w:cs="宋体"/>
          <w:sz w:val="24"/>
          <w:highlight w:val="none"/>
          <w:lang w:val="en-US" w:eastAsia="zh-CN"/>
        </w:rPr>
        <w:t>.</w:t>
      </w:r>
      <w:r>
        <w:rPr>
          <w:rFonts w:hint="eastAsia" w:ascii="仿宋" w:hAnsi="仿宋" w:eastAsia="仿宋" w:cs="宋体"/>
          <w:color w:val="000000"/>
          <w:sz w:val="24"/>
          <w:highlight w:val="none"/>
        </w:rPr>
        <w:t>主要职责</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（1）安全保管理财产品财产；</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（2）为每只理财产品开设独立的托管账户，不同托管账户中的资产应当相互独立；</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（3）按照托管协议约定和管理人的投资指令，及时办理清算、交割事宜；</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（4）建立与管理人的对账机制，复核、审查理财产品资金头寸、资产账目、资产净值、认购和赎回价格等数据，及时核查认购、赎回以及投资资金的支付和到账情况；</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（5）监督理财产品投资运作，发现理财产品违反法律、行政法规、规章规定或合同约定投资的，应当拒绝执行，及时通知管理人并报告银行业监督管理机构；</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（7）理财托管业务活动的记录、账册、报表和其他相关资料保存期限15年以上；</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（8）对理财产品投资信息和相关资料承担保密责任，除法律、行政法规、规章规定、审计要求或者合同约定外，不得向任何机构或者个人提供相关信息和资料；</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cs="宋体"/>
          <w:color w:val="000000"/>
          <w:sz w:val="24"/>
          <w:highlight w:val="none"/>
        </w:rPr>
      </w:pPr>
      <w:r>
        <w:rPr>
          <w:rFonts w:hint="eastAsia" w:ascii="仿宋" w:hAnsi="仿宋" w:eastAsia="仿宋" w:cs="宋体"/>
          <w:color w:val="000000"/>
          <w:sz w:val="24"/>
          <w:highlight w:val="none"/>
        </w:rPr>
        <w:t>（9）银行业监督管理机构规定的其他职责。</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cs="宋体"/>
          <w:color w:val="000000"/>
          <w:sz w:val="24"/>
          <w:highlight w:val="none"/>
        </w:rPr>
      </w:pPr>
      <w:r>
        <w:rPr>
          <w:rFonts w:hint="eastAsia" w:ascii="仿宋" w:hAnsi="仿宋" w:eastAsia="仿宋" w:cs="宋体"/>
          <w:color w:val="000000"/>
          <w:kern w:val="0"/>
          <w:sz w:val="24"/>
          <w:highlight w:val="none"/>
        </w:rPr>
        <w:t>本理财产品的销售机构与托管机构可能为产品管理人的关联方，包括但不限于管理人控股股东华夏银行股份有限公司，以及其他根据法律法规和金融监督管理部门相关规定认定的关联方。</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四、理财产品份额净值的计算</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理财产品</w:t>
      </w:r>
      <w:r>
        <w:rPr>
          <w:rFonts w:hint="eastAsia" w:ascii="仿宋" w:hAnsi="仿宋" w:eastAsia="仿宋" w:cs="宋体"/>
          <w:sz w:val="24"/>
          <w:highlight w:val="none"/>
        </w:rPr>
        <w:t>份额净值</w:t>
      </w:r>
      <w:r>
        <w:rPr>
          <w:rFonts w:ascii="仿宋" w:hAnsi="仿宋" w:eastAsia="仿宋" w:cs="宋体"/>
          <w:sz w:val="24"/>
          <w:highlight w:val="none"/>
        </w:rPr>
        <w:t>＝理财产品</w:t>
      </w:r>
      <w:r>
        <w:rPr>
          <w:rFonts w:hint="eastAsia" w:ascii="仿宋" w:hAnsi="仿宋" w:eastAsia="仿宋" w:cs="宋体"/>
          <w:sz w:val="24"/>
          <w:highlight w:val="none"/>
        </w:rPr>
        <w:t>资产</w:t>
      </w:r>
      <w:r>
        <w:rPr>
          <w:rFonts w:ascii="仿宋" w:hAnsi="仿宋" w:eastAsia="仿宋" w:cs="宋体"/>
          <w:sz w:val="24"/>
          <w:highlight w:val="none"/>
        </w:rPr>
        <w:t>净值/理财产品份额</w:t>
      </w:r>
      <w:r>
        <w:rPr>
          <w:rFonts w:hint="eastAsia" w:ascii="仿宋" w:hAnsi="仿宋" w:eastAsia="仿宋" w:cs="宋体"/>
          <w:sz w:val="24"/>
          <w:highlight w:val="none"/>
        </w:rPr>
        <w:t>。</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eastAsia="黑体"/>
          <w:b/>
          <w:highlight w:val="none"/>
        </w:rPr>
      </w:pPr>
      <w:r>
        <w:rPr>
          <w:rFonts w:ascii="仿宋" w:hAnsi="仿宋" w:eastAsia="仿宋" w:cs="宋体"/>
          <w:sz w:val="24"/>
          <w:highlight w:val="none"/>
        </w:rPr>
        <w:t>理财产品</w:t>
      </w:r>
      <w:r>
        <w:rPr>
          <w:rFonts w:hint="eastAsia" w:ascii="仿宋" w:hAnsi="仿宋" w:eastAsia="仿宋" w:cs="宋体"/>
          <w:sz w:val="24"/>
          <w:highlight w:val="none"/>
        </w:rPr>
        <w:t>份额净值</w:t>
      </w:r>
      <w:r>
        <w:rPr>
          <w:rFonts w:ascii="仿宋" w:hAnsi="仿宋" w:eastAsia="仿宋" w:cs="宋体"/>
          <w:sz w:val="24"/>
          <w:highlight w:val="none"/>
        </w:rPr>
        <w:t>为提取相关费用后的</w:t>
      </w:r>
      <w:r>
        <w:rPr>
          <w:rFonts w:hint="eastAsia" w:ascii="仿宋" w:hAnsi="仿宋" w:eastAsia="仿宋" w:cs="宋体"/>
          <w:sz w:val="24"/>
          <w:highlight w:val="none"/>
        </w:rPr>
        <w:t>份额净值</w:t>
      </w:r>
      <w:r>
        <w:rPr>
          <w:rFonts w:ascii="仿宋" w:hAnsi="仿宋" w:eastAsia="仿宋" w:cs="宋体"/>
          <w:sz w:val="24"/>
          <w:highlight w:val="none"/>
        </w:rPr>
        <w:t>，投资者按</w:t>
      </w:r>
      <w:r>
        <w:rPr>
          <w:rFonts w:hint="eastAsia" w:ascii="仿宋" w:hAnsi="仿宋" w:eastAsia="仿宋" w:cs="宋体"/>
          <w:sz w:val="24"/>
          <w:highlight w:val="none"/>
        </w:rPr>
        <w:t>到期日/终止日份额净值</w:t>
      </w:r>
      <w:r>
        <w:rPr>
          <w:rFonts w:ascii="仿宋" w:hAnsi="仿宋" w:eastAsia="仿宋" w:cs="宋体"/>
          <w:sz w:val="24"/>
          <w:highlight w:val="none"/>
        </w:rPr>
        <w:t>进行</w:t>
      </w:r>
      <w:r>
        <w:rPr>
          <w:rFonts w:hint="eastAsia" w:ascii="仿宋" w:hAnsi="仿宋" w:eastAsia="仿宋" w:cs="宋体"/>
          <w:sz w:val="24"/>
          <w:highlight w:val="none"/>
        </w:rPr>
        <w:t>到期</w:t>
      </w:r>
      <w:r>
        <w:rPr>
          <w:rFonts w:ascii="仿宋" w:hAnsi="仿宋" w:eastAsia="仿宋" w:cs="宋体"/>
          <w:sz w:val="24"/>
          <w:highlight w:val="none"/>
        </w:rPr>
        <w:t>/终止</w:t>
      </w:r>
      <w:r>
        <w:rPr>
          <w:rFonts w:hint="eastAsia" w:ascii="仿宋" w:hAnsi="仿宋" w:eastAsia="仿宋" w:cs="宋体"/>
          <w:sz w:val="24"/>
          <w:highlight w:val="none"/>
        </w:rPr>
        <w:t>后分配</w:t>
      </w:r>
      <w:r>
        <w:rPr>
          <w:rFonts w:ascii="仿宋" w:hAnsi="仿宋" w:eastAsia="仿宋" w:cs="宋体"/>
          <w:sz w:val="24"/>
          <w:highlight w:val="none"/>
        </w:rPr>
        <w:t>。</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五、认购</w:t>
      </w:r>
    </w:p>
    <w:p>
      <w:pPr>
        <w:pStyle w:val="1"/>
        <w:keepLines w:val="0"/>
        <w:pageBreakBefore w:val="0"/>
        <w:kinsoku/>
        <w:wordWrap/>
        <w:overflowPunct/>
        <w:topLinePunct w:val="0"/>
        <w:autoSpaceDE w:val="0"/>
        <w:autoSpaceDN w:val="0"/>
        <w:bidi w:val="0"/>
        <w:adjustRightInd/>
        <w:snapToGrid/>
        <w:spacing w:line="276" w:lineRule="auto"/>
        <w:ind w:firstLine="480" w:firstLineChars="200"/>
        <w:contextualSpacing/>
        <w:textAlignment w:val="auto"/>
        <w:outlineLvl w:val="1"/>
        <w:rPr>
          <w:rFonts w:hint="eastAsia" w:ascii="仿宋" w:hAnsi="仿宋" w:eastAsia="仿宋" w:cs="仿宋"/>
          <w:kern w:val="0"/>
          <w:sz w:val="24"/>
          <w:highlight w:val="none"/>
        </w:rPr>
      </w:pPr>
      <w:r>
        <w:rPr>
          <w:rFonts w:hint="eastAsia" w:ascii="仿宋" w:hAnsi="仿宋" w:eastAsia="仿宋" w:cs="宋体"/>
          <w:kern w:val="0"/>
          <w:sz w:val="24"/>
          <w:highlight w:val="none"/>
        </w:rPr>
        <w:t>（一）认购交易渠道和规定</w:t>
      </w:r>
    </w:p>
    <w:p>
      <w:pPr>
        <w:pStyle w:val="1"/>
        <w:keepLines w:val="0"/>
        <w:pageBreakBefore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s="宋体"/>
          <w:sz w:val="24"/>
          <w:highlight w:val="none"/>
        </w:rPr>
      </w:pPr>
      <w:r>
        <w:rPr>
          <w:rFonts w:ascii="仿宋" w:hAnsi="仿宋" w:eastAsia="仿宋" w:cs="宋体"/>
          <w:sz w:val="24"/>
          <w:highlight w:val="none"/>
        </w:rPr>
        <w:t>1</w:t>
      </w:r>
      <w:r>
        <w:rPr>
          <w:rFonts w:hint="eastAsia" w:ascii="仿宋" w:hAnsi="仿宋" w:eastAsia="仿宋" w:cs="宋体"/>
          <w:sz w:val="24"/>
          <w:highlight w:val="none"/>
        </w:rPr>
        <w:t>.通过华夏理财购买的，</w:t>
      </w:r>
      <w:r>
        <w:rPr>
          <w:rFonts w:ascii="仿宋" w:hAnsi="仿宋" w:eastAsia="仿宋" w:cs="宋体"/>
          <w:sz w:val="24"/>
          <w:highlight w:val="none"/>
        </w:rPr>
        <w:t>投资者可通过</w:t>
      </w:r>
      <w:r>
        <w:rPr>
          <w:rFonts w:hint="eastAsia" w:ascii="仿宋" w:hAnsi="仿宋" w:eastAsia="仿宋" w:cs="宋体"/>
          <w:sz w:val="24"/>
          <w:highlight w:val="none"/>
        </w:rPr>
        <w:t>华夏理财直销</w:t>
      </w:r>
      <w:r>
        <w:rPr>
          <w:rFonts w:ascii="仿宋" w:hAnsi="仿宋" w:eastAsia="仿宋" w:cs="宋体"/>
          <w:sz w:val="24"/>
          <w:highlight w:val="none"/>
        </w:rPr>
        <w:t>渠道发起</w:t>
      </w:r>
      <w:r>
        <w:rPr>
          <w:rFonts w:hint="eastAsia" w:ascii="仿宋" w:hAnsi="仿宋" w:eastAsia="仿宋" w:cs="宋体"/>
          <w:sz w:val="24"/>
          <w:highlight w:val="none"/>
        </w:rPr>
        <w:t>认购</w:t>
      </w:r>
      <w:r>
        <w:rPr>
          <w:rFonts w:ascii="仿宋" w:hAnsi="仿宋" w:eastAsia="仿宋" w:cs="宋体"/>
          <w:sz w:val="24"/>
          <w:highlight w:val="none"/>
        </w:rPr>
        <w:t>申请</w:t>
      </w:r>
      <w:r>
        <w:rPr>
          <w:rFonts w:hint="eastAsia" w:ascii="仿宋" w:hAnsi="仿宋" w:eastAsia="仿宋" w:cs="宋体"/>
          <w:sz w:val="24"/>
          <w:highlight w:val="none"/>
        </w:rPr>
        <w:t>；通过代销机构购买的，认购渠道以代销机构规定为准</w:t>
      </w:r>
      <w:r>
        <w:rPr>
          <w:rFonts w:ascii="仿宋" w:hAnsi="仿宋" w:eastAsia="仿宋" w:cs="宋体"/>
          <w:sz w:val="24"/>
          <w:highlight w:val="none"/>
        </w:rPr>
        <w:t>。</w:t>
      </w:r>
    </w:p>
    <w:p>
      <w:pPr>
        <w:pStyle w:val="1"/>
        <w:keepLines w:val="0"/>
        <w:pageBreakBefore w:val="0"/>
        <w:widowControl/>
        <w:kinsoku/>
        <w:wordWrap/>
        <w:overflowPunct/>
        <w:topLinePunct w:val="0"/>
        <w:bidi w:val="0"/>
        <w:adjustRightInd/>
        <w:snapToGrid/>
        <w:spacing w:line="276" w:lineRule="auto"/>
        <w:ind w:firstLine="482" w:firstLineChars="200"/>
        <w:contextualSpacing/>
        <w:jc w:val="both"/>
        <w:textAlignment w:val="auto"/>
        <w:rPr>
          <w:rFonts w:ascii="仿宋" w:hAnsi="仿宋" w:eastAsia="仿宋" w:cs="宋体"/>
          <w:b/>
          <w:bCs/>
          <w:sz w:val="24"/>
          <w:highlight w:val="none"/>
        </w:rPr>
      </w:pPr>
      <w:r>
        <w:rPr>
          <w:rFonts w:hint="eastAsia" w:ascii="仿宋" w:hAnsi="仿宋" w:eastAsia="仿宋" w:cs="宋体"/>
          <w:b/>
          <w:bCs/>
          <w:sz w:val="24"/>
          <w:highlight w:val="none"/>
        </w:rPr>
        <w:t>2</w:t>
      </w:r>
      <w:r>
        <w:rPr>
          <w:rFonts w:hint="eastAsia" w:ascii="仿宋" w:hAnsi="仿宋" w:eastAsia="仿宋" w:cs="宋体"/>
          <w:b/>
          <w:bCs/>
          <w:sz w:val="24"/>
          <w:highlight w:val="none"/>
          <w:lang w:val="en-US" w:eastAsia="zh-CN"/>
        </w:rPr>
        <w:t>.</w:t>
      </w:r>
      <w:r>
        <w:rPr>
          <w:rFonts w:hint="eastAsia" w:ascii="仿宋" w:hAnsi="仿宋" w:eastAsia="仿宋" w:cs="宋体"/>
          <w:b/>
          <w:bCs/>
          <w:sz w:val="24"/>
          <w:highlight w:val="none"/>
        </w:rPr>
        <w:t>本理财产品单一投资者持有产品份额数不得超过产品份额总数的50%。</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cs="宋体"/>
          <w:sz w:val="24"/>
          <w:highlight w:val="none"/>
        </w:rPr>
      </w:pPr>
      <w:r>
        <w:rPr>
          <w:rFonts w:hint="eastAsia" w:ascii="仿宋" w:hAnsi="仿宋" w:eastAsia="仿宋" w:cs="宋体"/>
          <w:sz w:val="24"/>
          <w:highlight w:val="none"/>
        </w:rPr>
        <w:t>法律法规、监管部门另有规定的，从其规定。</w:t>
      </w:r>
    </w:p>
    <w:p>
      <w:pPr>
        <w:pStyle w:val="1"/>
        <w:keepLines w:val="0"/>
        <w:pageBreakBefore w:val="0"/>
        <w:kinsoku/>
        <w:wordWrap/>
        <w:overflowPunct/>
        <w:topLinePunct w:val="0"/>
        <w:autoSpaceDE w:val="0"/>
        <w:autoSpaceDN w:val="0"/>
        <w:bidi w:val="0"/>
        <w:adjustRightInd/>
        <w:snapToGrid/>
        <w:spacing w:line="276" w:lineRule="auto"/>
        <w:ind w:firstLine="480" w:firstLineChars="200"/>
        <w:contextualSpacing/>
        <w:textAlignment w:val="auto"/>
        <w:outlineLvl w:val="1"/>
        <w:rPr>
          <w:rFonts w:hint="eastAsia" w:ascii="仿宋" w:hAnsi="仿宋" w:eastAsia="仿宋" w:cs="宋体"/>
          <w:kern w:val="0"/>
          <w:sz w:val="24"/>
          <w:highlight w:val="none"/>
        </w:rPr>
      </w:pPr>
      <w:r>
        <w:rPr>
          <w:rFonts w:hint="eastAsia" w:ascii="仿宋" w:hAnsi="仿宋" w:eastAsia="仿宋" w:cs="宋体"/>
          <w:kern w:val="0"/>
          <w:sz w:val="24"/>
          <w:highlight w:val="none"/>
        </w:rPr>
        <w:t>（二）拒绝或暂停</w:t>
      </w:r>
      <w:r>
        <w:rPr>
          <w:rFonts w:hint="eastAsia" w:ascii="仿宋" w:hAnsi="仿宋" w:eastAsia="仿宋" w:cs="宋体"/>
          <w:color w:val="000000"/>
          <w:kern w:val="0"/>
          <w:sz w:val="24"/>
          <w:highlight w:val="none"/>
        </w:rPr>
        <w:t>认</w:t>
      </w:r>
      <w:r>
        <w:rPr>
          <w:rFonts w:hint="eastAsia" w:ascii="仿宋" w:hAnsi="仿宋" w:eastAsia="仿宋" w:cs="宋体"/>
          <w:kern w:val="0"/>
          <w:sz w:val="24"/>
          <w:highlight w:val="none"/>
        </w:rPr>
        <w:t>购的情形</w:t>
      </w:r>
    </w:p>
    <w:p>
      <w:pPr>
        <w:pStyle w:val="1"/>
        <w:keepLines w:val="0"/>
        <w:pageBreakBefore w:val="0"/>
        <w:widowControl/>
        <w:kinsoku/>
        <w:wordWrap/>
        <w:overflowPunct/>
        <w:topLinePunct w:val="0"/>
        <w:bidi w:val="0"/>
        <w:adjustRightInd/>
        <w:snapToGrid/>
        <w:spacing w:line="276" w:lineRule="auto"/>
        <w:ind w:firstLine="482" w:firstLineChars="200"/>
        <w:contextualSpacing/>
        <w:jc w:val="both"/>
        <w:textAlignment w:val="auto"/>
        <w:rPr>
          <w:rFonts w:ascii="仿宋" w:hAnsi="仿宋" w:eastAsia="仿宋" w:cs="宋体"/>
          <w:b/>
          <w:bCs/>
          <w:color w:val="000000"/>
          <w:sz w:val="24"/>
          <w:highlight w:val="none"/>
        </w:rPr>
      </w:pPr>
      <w:r>
        <w:rPr>
          <w:rFonts w:hint="eastAsia" w:ascii="仿宋" w:hAnsi="仿宋" w:eastAsia="仿宋" w:cs="宋体"/>
          <w:b/>
          <w:bCs/>
          <w:color w:val="000000"/>
          <w:sz w:val="24"/>
          <w:highlight w:val="none"/>
        </w:rPr>
        <w:t>发生下列情况之一时，</w:t>
      </w:r>
      <w:r>
        <w:rPr>
          <w:rFonts w:ascii="仿宋" w:hAnsi="仿宋" w:eastAsia="仿宋" w:cs="宋体"/>
          <w:b/>
          <w:bCs/>
          <w:sz w:val="24"/>
          <w:highlight w:val="none"/>
        </w:rPr>
        <w:t>管理人</w:t>
      </w:r>
      <w:r>
        <w:rPr>
          <w:rFonts w:hint="eastAsia" w:ascii="仿宋" w:hAnsi="仿宋" w:eastAsia="仿宋" w:cs="宋体"/>
          <w:b/>
          <w:bCs/>
          <w:sz w:val="24"/>
          <w:highlight w:val="none"/>
        </w:rPr>
        <w:t>可以</w:t>
      </w:r>
      <w:r>
        <w:rPr>
          <w:rFonts w:hint="eastAsia" w:ascii="仿宋" w:hAnsi="仿宋" w:eastAsia="仿宋" w:cs="宋体"/>
          <w:b/>
          <w:bCs/>
          <w:color w:val="000000"/>
          <w:sz w:val="24"/>
          <w:highlight w:val="none"/>
        </w:rPr>
        <w:t>采取认购风险应对措施，</w:t>
      </w:r>
      <w:r>
        <w:rPr>
          <w:rFonts w:hint="eastAsia" w:ascii="仿宋" w:hAnsi="仿宋" w:eastAsia="仿宋" w:cs="宋体"/>
          <w:b/>
          <w:bCs/>
          <w:sz w:val="24"/>
          <w:highlight w:val="none"/>
        </w:rPr>
        <w:t>拒绝或暂停接受</w:t>
      </w:r>
      <w:r>
        <w:rPr>
          <w:rFonts w:hint="eastAsia" w:ascii="仿宋" w:hAnsi="仿宋" w:eastAsia="仿宋" w:cs="宋体"/>
          <w:b/>
          <w:bCs/>
          <w:color w:val="000000"/>
          <w:sz w:val="24"/>
          <w:highlight w:val="none"/>
        </w:rPr>
        <w:t>认</w:t>
      </w:r>
      <w:r>
        <w:rPr>
          <w:rFonts w:hint="eastAsia" w:ascii="仿宋" w:hAnsi="仿宋" w:eastAsia="仿宋" w:cs="宋体"/>
          <w:b/>
          <w:bCs/>
          <w:sz w:val="24"/>
          <w:highlight w:val="none"/>
        </w:rPr>
        <w:t>购申请</w:t>
      </w:r>
      <w:r>
        <w:rPr>
          <w:rFonts w:hint="eastAsia" w:ascii="仿宋" w:hAnsi="仿宋" w:eastAsia="仿宋" w:cs="宋体"/>
          <w:b/>
          <w:bCs/>
          <w:color w:val="000000"/>
          <w:sz w:val="24"/>
          <w:highlight w:val="none"/>
        </w:rPr>
        <w:t>：</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（1）因不可抗力导致理财</w:t>
      </w:r>
      <w:r>
        <w:rPr>
          <w:rFonts w:ascii="仿宋" w:hAnsi="仿宋" w:eastAsia="仿宋" w:cs="宋体"/>
          <w:color w:val="000000"/>
          <w:sz w:val="24"/>
          <w:highlight w:val="none"/>
        </w:rPr>
        <w:t>产品</w:t>
      </w:r>
      <w:r>
        <w:rPr>
          <w:rFonts w:hint="eastAsia" w:ascii="仿宋" w:hAnsi="仿宋" w:eastAsia="仿宋" w:cs="宋体"/>
          <w:color w:val="000000"/>
          <w:sz w:val="24"/>
          <w:highlight w:val="none"/>
        </w:rPr>
        <w:t>无法正常运作。</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（2）接受某笔或某些认购申请可能对其他投资者利益构成重大不利影响。</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（3）</w:t>
      </w:r>
      <w:r>
        <w:rPr>
          <w:rFonts w:hint="eastAsia" w:ascii="仿宋" w:hAnsi="仿宋" w:eastAsia="仿宋" w:cs="宋体"/>
          <w:color w:val="000000"/>
          <w:sz w:val="24"/>
          <w:szCs w:val="20"/>
          <w:highlight w:val="none"/>
        </w:rPr>
        <w:t>超过本理财产品规模上限部分的认购申请。</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（4）基于理财产品投资运作与风险控制需要。</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w:t>
      </w:r>
      <w:r>
        <w:rPr>
          <w:rFonts w:ascii="仿宋" w:hAnsi="仿宋" w:eastAsia="仿宋" w:cs="宋体"/>
          <w:color w:val="000000"/>
          <w:sz w:val="24"/>
          <w:highlight w:val="none"/>
        </w:rPr>
        <w:t>5</w:t>
      </w:r>
      <w:r>
        <w:rPr>
          <w:rFonts w:hint="eastAsia" w:ascii="仿宋" w:hAnsi="仿宋" w:eastAsia="仿宋" w:cs="宋体"/>
          <w:color w:val="000000"/>
          <w:sz w:val="24"/>
          <w:highlight w:val="none"/>
        </w:rPr>
        <w:t>）客户认购申请总金额超过设定的认购最高金额。</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w:t>
      </w:r>
      <w:r>
        <w:rPr>
          <w:rFonts w:ascii="仿宋" w:hAnsi="仿宋" w:eastAsia="仿宋" w:cs="宋体"/>
          <w:color w:val="000000"/>
          <w:sz w:val="24"/>
          <w:highlight w:val="none"/>
        </w:rPr>
        <w:t>6</w:t>
      </w:r>
      <w:r>
        <w:rPr>
          <w:rFonts w:hint="eastAsia" w:ascii="仿宋" w:hAnsi="仿宋" w:eastAsia="仿宋" w:cs="宋体"/>
          <w:color w:val="000000"/>
          <w:sz w:val="24"/>
          <w:highlight w:val="none"/>
        </w:rPr>
        <w:t>）接受某笔或者某些认购申请有可能导致单一投资者持有份额的比例超过50%，或者出现变相规避50%集中度限制的情形。</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w:t>
      </w:r>
      <w:r>
        <w:rPr>
          <w:rFonts w:ascii="仿宋" w:hAnsi="仿宋" w:eastAsia="仿宋" w:cs="宋体"/>
          <w:color w:val="000000"/>
          <w:sz w:val="24"/>
          <w:highlight w:val="none"/>
        </w:rPr>
        <w:t>7</w:t>
      </w:r>
      <w:r>
        <w:rPr>
          <w:rFonts w:hint="eastAsia" w:ascii="仿宋" w:hAnsi="仿宋" w:eastAsia="仿宋" w:cs="宋体"/>
          <w:color w:val="000000"/>
          <w:sz w:val="24"/>
          <w:highlight w:val="none"/>
        </w:rPr>
        <w:t>）法律法规规定或监管</w:t>
      </w:r>
      <w:r>
        <w:rPr>
          <w:rFonts w:ascii="仿宋" w:hAnsi="仿宋" w:eastAsia="仿宋" w:cs="宋体"/>
          <w:color w:val="000000"/>
          <w:sz w:val="24"/>
          <w:highlight w:val="none"/>
        </w:rPr>
        <w:t>机构</w:t>
      </w:r>
      <w:r>
        <w:rPr>
          <w:rFonts w:hint="eastAsia" w:ascii="仿宋" w:hAnsi="仿宋" w:eastAsia="仿宋" w:cs="宋体"/>
          <w:color w:val="000000"/>
          <w:sz w:val="24"/>
          <w:highlight w:val="none"/>
        </w:rPr>
        <w:t>认定的其他情形。</w:t>
      </w:r>
    </w:p>
    <w:p>
      <w:pPr>
        <w:pStyle w:val="183"/>
        <w:keepLines w:val="0"/>
        <w:pageBreakBefore w:val="0"/>
        <w:kinsoku/>
        <w:wordWrap/>
        <w:overflowPunct/>
        <w:topLinePunct w:val="0"/>
        <w:bidi w:val="0"/>
        <w:adjustRightInd/>
        <w:snapToGrid/>
        <w:spacing w:line="276" w:lineRule="auto"/>
        <w:ind w:firstLine="480" w:firstLineChars="200"/>
        <w:jc w:val="both"/>
        <w:textAlignment w:val="auto"/>
        <w:rPr>
          <w:rFonts w:ascii="仿宋" w:hAnsi="仿宋" w:eastAsia="仿宋"/>
          <w:highlight w:val="none"/>
        </w:rPr>
      </w:pPr>
      <w:r>
        <w:rPr>
          <w:rFonts w:hint="eastAsia" w:ascii="仿宋" w:hAnsi="仿宋" w:eastAsia="仿宋"/>
          <w:highlight w:val="none"/>
        </w:rPr>
        <w:t>如果投资</w:t>
      </w:r>
      <w:r>
        <w:rPr>
          <w:rFonts w:hint="eastAsia" w:ascii="仿宋" w:hAnsi="仿宋" w:eastAsia="仿宋"/>
          <w:highlight w:val="none"/>
          <w:lang w:val="en-US" w:eastAsia="zh-CN"/>
        </w:rPr>
        <w:t>者</w:t>
      </w:r>
      <w:r>
        <w:rPr>
          <w:rFonts w:hint="eastAsia" w:ascii="仿宋" w:hAnsi="仿宋" w:eastAsia="仿宋"/>
          <w:highlight w:val="none"/>
        </w:rPr>
        <w:t>的认购申请被全部或部分拒绝的，被拒绝的认购款项将退还给投资</w:t>
      </w:r>
      <w:r>
        <w:rPr>
          <w:rFonts w:hint="eastAsia" w:ascii="仿宋" w:hAnsi="仿宋" w:eastAsia="仿宋"/>
          <w:highlight w:val="none"/>
          <w:lang w:val="en-US" w:eastAsia="zh-CN"/>
        </w:rPr>
        <w:t>者</w:t>
      </w:r>
      <w:r>
        <w:rPr>
          <w:rFonts w:hint="eastAsia" w:ascii="仿宋" w:hAnsi="仿宋" w:eastAsia="仿宋"/>
          <w:highlight w:val="none"/>
        </w:rPr>
        <w:t>。在暂停认购的情况消除时，</w:t>
      </w:r>
      <w:r>
        <w:rPr>
          <w:rFonts w:ascii="仿宋" w:hAnsi="仿宋" w:eastAsia="仿宋"/>
          <w:highlight w:val="none"/>
        </w:rPr>
        <w:t>管理人</w:t>
      </w:r>
      <w:r>
        <w:rPr>
          <w:rFonts w:hint="eastAsia" w:ascii="仿宋" w:hAnsi="仿宋" w:eastAsia="仿宋"/>
          <w:highlight w:val="none"/>
        </w:rPr>
        <w:t>将及时恢复办理业务。</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六、收益示例</w:t>
      </w:r>
    </w:p>
    <w:p>
      <w:pPr>
        <w:pStyle w:val="1"/>
        <w:keepLines w:val="0"/>
        <w:pageBreakBefore w:val="0"/>
        <w:kinsoku/>
        <w:wordWrap/>
        <w:overflowPunct/>
        <w:topLinePunct w:val="0"/>
        <w:bidi w:val="0"/>
        <w:adjustRightInd/>
        <w:snapToGrid/>
        <w:spacing w:line="276" w:lineRule="auto"/>
        <w:ind w:firstLine="480" w:firstLineChars="200"/>
        <w:jc w:val="both"/>
        <w:textAlignment w:val="auto"/>
        <w:rPr>
          <w:rFonts w:ascii="仿宋" w:hAnsi="仿宋" w:eastAsia="仿宋"/>
          <w:sz w:val="24"/>
          <w:highlight w:val="none"/>
        </w:rPr>
      </w:pPr>
      <w:r>
        <w:rPr>
          <w:rFonts w:hint="eastAsia" w:ascii="仿宋" w:hAnsi="仿宋" w:eastAsia="仿宋" w:cs="仿宋"/>
          <w:sz w:val="24"/>
          <w:highlight w:val="none"/>
        </w:rPr>
        <w:t>假设客户持有的产品份额为</w:t>
      </w:r>
      <w:r>
        <w:rPr>
          <w:rFonts w:ascii="仿宋" w:hAnsi="仿宋" w:eastAsia="仿宋" w:cs="仿宋"/>
          <w:sz w:val="24"/>
          <w:highlight w:val="none"/>
        </w:rPr>
        <w:t>100,000</w:t>
      </w:r>
      <w:r>
        <w:rPr>
          <w:rFonts w:hint="eastAsia" w:ascii="仿宋" w:hAnsi="仿宋" w:eastAsia="仿宋" w:cs="仿宋"/>
          <w:sz w:val="24"/>
          <w:highlight w:val="none"/>
        </w:rPr>
        <w:t>份：</w:t>
      </w:r>
    </w:p>
    <w:p>
      <w:pPr>
        <w:pStyle w:val="1"/>
        <w:keepLines w:val="0"/>
        <w:pageBreakBefore w:val="0"/>
        <w:kinsoku/>
        <w:wordWrap/>
        <w:overflowPunct/>
        <w:topLinePunct w:val="0"/>
        <w:bidi w:val="0"/>
        <w:adjustRightInd/>
        <w:snapToGrid/>
        <w:spacing w:line="276" w:lineRule="auto"/>
        <w:ind w:firstLine="480" w:firstLineChars="200"/>
        <w:jc w:val="both"/>
        <w:textAlignment w:val="auto"/>
        <w:rPr>
          <w:rFonts w:ascii="仿宋" w:hAnsi="仿宋" w:eastAsia="仿宋"/>
          <w:sz w:val="24"/>
          <w:highlight w:val="none"/>
        </w:rPr>
      </w:pPr>
      <w:r>
        <w:rPr>
          <w:rFonts w:hint="eastAsia" w:ascii="仿宋" w:hAnsi="仿宋" w:eastAsia="仿宋" w:cs="仿宋"/>
          <w:sz w:val="24"/>
          <w:highlight w:val="none"/>
        </w:rPr>
        <w:t>例</w:t>
      </w:r>
      <w:r>
        <w:rPr>
          <w:rFonts w:ascii="仿宋" w:hAnsi="仿宋" w:eastAsia="仿宋" w:cs="仿宋"/>
          <w:sz w:val="24"/>
          <w:highlight w:val="none"/>
        </w:rPr>
        <w:t>1</w:t>
      </w:r>
      <w:r>
        <w:rPr>
          <w:rFonts w:hint="eastAsia" w:ascii="仿宋" w:hAnsi="仿宋" w:eastAsia="仿宋" w:cs="仿宋"/>
          <w:sz w:val="24"/>
          <w:highlight w:val="none"/>
        </w:rPr>
        <w:t>：理财产品到期后，若</w:t>
      </w:r>
      <w:r>
        <w:rPr>
          <w:rFonts w:hint="eastAsia" w:ascii="仿宋" w:hAnsi="仿宋" w:eastAsia="仿宋"/>
          <w:sz w:val="24"/>
          <w:highlight w:val="none"/>
        </w:rPr>
        <w:t>根据前述超额管理费条款，</w:t>
      </w:r>
      <w:r>
        <w:rPr>
          <w:rFonts w:hint="eastAsia" w:ascii="仿宋" w:hAnsi="仿宋" w:eastAsia="仿宋" w:cs="仿宋"/>
          <w:sz w:val="24"/>
          <w:highlight w:val="none"/>
        </w:rPr>
        <w:t>管理人收取超额管理费，扣除超额管理费后的产品到期日份额净值为</w:t>
      </w:r>
      <w:r>
        <w:rPr>
          <w:rFonts w:ascii="仿宋" w:hAnsi="仿宋" w:eastAsia="仿宋" w:cs="仿宋"/>
          <w:sz w:val="24"/>
          <w:highlight w:val="none"/>
        </w:rPr>
        <w:t>1.0800</w:t>
      </w:r>
      <w:r>
        <w:rPr>
          <w:rFonts w:hint="eastAsia" w:ascii="仿宋" w:hAnsi="仿宋" w:eastAsia="仿宋" w:cs="仿宋"/>
          <w:sz w:val="24"/>
          <w:highlight w:val="none"/>
        </w:rPr>
        <w:t>，客户到期获得的金额为：</w:t>
      </w:r>
      <w:r>
        <w:rPr>
          <w:rFonts w:ascii="仿宋" w:hAnsi="仿宋" w:eastAsia="仿宋" w:cs="仿宋"/>
          <w:sz w:val="24"/>
          <w:highlight w:val="none"/>
        </w:rPr>
        <w:t>100,000*1.0800=108,000.00</w:t>
      </w:r>
      <w:r>
        <w:rPr>
          <w:rFonts w:hint="eastAsia" w:ascii="仿宋" w:hAnsi="仿宋" w:eastAsia="仿宋" w:cs="仿宋"/>
          <w:sz w:val="24"/>
          <w:highlight w:val="none"/>
        </w:rPr>
        <w:t>元。</w:t>
      </w:r>
    </w:p>
    <w:p>
      <w:pPr>
        <w:pStyle w:val="1"/>
        <w:keepLines w:val="0"/>
        <w:pageBreakBefore w:val="0"/>
        <w:kinsoku/>
        <w:wordWrap/>
        <w:overflowPunct/>
        <w:topLinePunct w:val="0"/>
        <w:bidi w:val="0"/>
        <w:adjustRightInd/>
        <w:snapToGrid/>
        <w:spacing w:line="276" w:lineRule="auto"/>
        <w:ind w:firstLine="480" w:firstLineChars="200"/>
        <w:jc w:val="both"/>
        <w:textAlignment w:val="auto"/>
        <w:rPr>
          <w:rFonts w:ascii="仿宋" w:hAnsi="仿宋" w:eastAsia="仿宋"/>
          <w:sz w:val="24"/>
          <w:highlight w:val="none"/>
        </w:rPr>
      </w:pPr>
      <w:r>
        <w:rPr>
          <w:rFonts w:hint="eastAsia" w:ascii="仿宋" w:hAnsi="仿宋" w:eastAsia="仿宋" w:cs="仿宋"/>
          <w:sz w:val="24"/>
          <w:highlight w:val="none"/>
        </w:rPr>
        <w:t>例</w:t>
      </w:r>
      <w:r>
        <w:rPr>
          <w:rFonts w:ascii="仿宋" w:hAnsi="仿宋" w:eastAsia="仿宋" w:cs="仿宋"/>
          <w:sz w:val="24"/>
          <w:highlight w:val="none"/>
        </w:rPr>
        <w:t>2</w:t>
      </w:r>
      <w:r>
        <w:rPr>
          <w:rFonts w:hint="eastAsia" w:ascii="仿宋" w:hAnsi="仿宋" w:eastAsia="仿宋" w:cs="仿宋"/>
          <w:sz w:val="24"/>
          <w:highlight w:val="none"/>
        </w:rPr>
        <w:t>：理财产品到期后，若</w:t>
      </w:r>
      <w:r>
        <w:rPr>
          <w:rFonts w:hint="eastAsia" w:ascii="仿宋" w:hAnsi="仿宋" w:eastAsia="仿宋"/>
          <w:sz w:val="24"/>
          <w:highlight w:val="none"/>
        </w:rPr>
        <w:t>根据前述超额管理费条款，</w:t>
      </w:r>
      <w:r>
        <w:rPr>
          <w:rFonts w:hint="eastAsia" w:ascii="仿宋" w:hAnsi="仿宋" w:eastAsia="仿宋" w:cs="仿宋"/>
          <w:sz w:val="24"/>
          <w:highlight w:val="none"/>
        </w:rPr>
        <w:t>管理人不收取超额管理费，产品到期日份额净值为</w:t>
      </w:r>
      <w:r>
        <w:rPr>
          <w:rFonts w:ascii="仿宋" w:hAnsi="仿宋" w:eastAsia="仿宋" w:cs="仿宋"/>
          <w:sz w:val="24"/>
          <w:highlight w:val="none"/>
        </w:rPr>
        <w:t>1.0200</w:t>
      </w:r>
      <w:r>
        <w:rPr>
          <w:rFonts w:hint="eastAsia" w:ascii="仿宋" w:hAnsi="仿宋" w:eastAsia="仿宋" w:cs="仿宋"/>
          <w:sz w:val="24"/>
          <w:highlight w:val="none"/>
        </w:rPr>
        <w:t>，客户到期获得的金额为：</w:t>
      </w:r>
      <w:r>
        <w:rPr>
          <w:rFonts w:ascii="仿宋" w:hAnsi="仿宋" w:eastAsia="仿宋" w:cs="仿宋"/>
          <w:sz w:val="24"/>
          <w:highlight w:val="none"/>
        </w:rPr>
        <w:t>100,000*1.0200=102,000.00</w:t>
      </w:r>
      <w:r>
        <w:rPr>
          <w:rFonts w:hint="eastAsia" w:ascii="仿宋" w:hAnsi="仿宋" w:eastAsia="仿宋" w:cs="仿宋"/>
          <w:sz w:val="24"/>
          <w:highlight w:val="none"/>
        </w:rPr>
        <w:t>元</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sz w:val="24"/>
          <w:highlight w:val="none"/>
        </w:rPr>
      </w:pPr>
      <w:r>
        <w:rPr>
          <w:rFonts w:hint="eastAsia" w:ascii="仿宋" w:hAnsi="仿宋" w:eastAsia="仿宋" w:cs="仿宋"/>
          <w:sz w:val="24"/>
          <w:highlight w:val="none"/>
        </w:rPr>
        <w:t>例</w:t>
      </w:r>
      <w:r>
        <w:rPr>
          <w:rFonts w:ascii="仿宋" w:hAnsi="仿宋" w:eastAsia="仿宋" w:cs="仿宋"/>
          <w:sz w:val="24"/>
          <w:highlight w:val="none"/>
        </w:rPr>
        <w:t>3</w:t>
      </w:r>
      <w:r>
        <w:rPr>
          <w:rFonts w:hint="eastAsia" w:ascii="仿宋" w:hAnsi="仿宋" w:eastAsia="仿宋" w:cs="仿宋"/>
          <w:sz w:val="24"/>
          <w:highlight w:val="none"/>
        </w:rPr>
        <w:t>：理财产品到期后，若</w:t>
      </w:r>
      <w:r>
        <w:rPr>
          <w:rFonts w:hint="eastAsia" w:ascii="仿宋" w:hAnsi="仿宋" w:eastAsia="仿宋"/>
          <w:sz w:val="24"/>
          <w:highlight w:val="none"/>
        </w:rPr>
        <w:t>根据前述超额管理费条款，</w:t>
      </w:r>
      <w:r>
        <w:rPr>
          <w:rFonts w:hint="eastAsia" w:ascii="仿宋" w:hAnsi="仿宋" w:eastAsia="仿宋" w:cs="仿宋"/>
          <w:sz w:val="24"/>
          <w:highlight w:val="none"/>
        </w:rPr>
        <w:t>管理人不收取超额管理费，产品到期日份额净值为</w:t>
      </w:r>
      <w:r>
        <w:rPr>
          <w:rFonts w:ascii="仿宋" w:hAnsi="仿宋" w:eastAsia="仿宋" w:cs="仿宋"/>
          <w:sz w:val="24"/>
          <w:highlight w:val="none"/>
        </w:rPr>
        <w:t>0.9980</w:t>
      </w:r>
      <w:r>
        <w:rPr>
          <w:rFonts w:hint="eastAsia" w:ascii="仿宋" w:hAnsi="仿宋" w:eastAsia="仿宋" w:cs="仿宋"/>
          <w:sz w:val="24"/>
          <w:highlight w:val="none"/>
        </w:rPr>
        <w:t>，客户到期获得的金额为：</w:t>
      </w:r>
      <w:r>
        <w:rPr>
          <w:rFonts w:ascii="仿宋" w:hAnsi="仿宋" w:eastAsia="仿宋" w:cs="仿宋"/>
          <w:sz w:val="24"/>
          <w:highlight w:val="none"/>
        </w:rPr>
        <w:t>100,000*0.9980=99,800.00</w:t>
      </w:r>
      <w:r>
        <w:rPr>
          <w:rFonts w:hint="eastAsia" w:ascii="仿宋" w:hAnsi="仿宋" w:eastAsia="仿宋" w:cs="仿宋"/>
          <w:sz w:val="24"/>
          <w:highlight w:val="none"/>
        </w:rPr>
        <w:t>元。</w:t>
      </w:r>
    </w:p>
    <w:p>
      <w:pPr>
        <w:pStyle w:val="1"/>
        <w:keepLines w:val="0"/>
        <w:pageBreakBefore w:val="0"/>
        <w:kinsoku/>
        <w:wordWrap/>
        <w:overflowPunct/>
        <w:topLinePunct w:val="0"/>
        <w:bidi w:val="0"/>
        <w:adjustRightInd/>
        <w:snapToGrid/>
        <w:spacing w:line="276" w:lineRule="auto"/>
        <w:ind w:firstLine="482" w:firstLineChars="200"/>
        <w:contextualSpacing/>
        <w:jc w:val="both"/>
        <w:textAlignment w:val="auto"/>
        <w:rPr>
          <w:rFonts w:eastAsia="黑体"/>
          <w:b/>
          <w:sz w:val="24"/>
          <w:highlight w:val="none"/>
        </w:rPr>
      </w:pPr>
      <w:r>
        <w:rPr>
          <w:rFonts w:hint="eastAsia" w:eastAsia="黑体"/>
          <w:b/>
          <w:sz w:val="24"/>
          <w:highlight w:val="none"/>
        </w:rPr>
        <w:t>上述理财产品收益分析及计算中所采用的全部为模拟数据，仅供参考，不代表本理财产品实际收益水平。收益示例不等于实际收益，投资须谨慎。</w:t>
      </w:r>
    </w:p>
    <w:p>
      <w:pPr>
        <w:pStyle w:val="1"/>
        <w:keepLines w:val="0"/>
        <w:pageBreakBefore w:val="0"/>
        <w:kinsoku/>
        <w:wordWrap/>
        <w:overflowPunct/>
        <w:topLinePunct w:val="0"/>
        <w:bidi w:val="0"/>
        <w:adjustRightInd/>
        <w:snapToGrid/>
        <w:spacing w:line="276" w:lineRule="auto"/>
        <w:ind w:firstLine="482" w:firstLineChars="200"/>
        <w:contextualSpacing/>
        <w:jc w:val="both"/>
        <w:textAlignment w:val="auto"/>
        <w:rPr>
          <w:rFonts w:eastAsia="黑体"/>
          <w:b/>
          <w:sz w:val="24"/>
          <w:highlight w:val="none"/>
        </w:rPr>
      </w:pPr>
      <w:r>
        <w:rPr>
          <w:rFonts w:hint="eastAsia" w:eastAsia="黑体"/>
          <w:b/>
          <w:sz w:val="24"/>
          <w:highlight w:val="none"/>
        </w:rPr>
        <w:t>华夏理财郑重提示：本理财产品是非保本浮动收益净值型理财产品，不保证理财本金和收益。投资者的本金和收益可能会因市场变动等原因而蒙受损失。投资者应充分认识投资风险，谨慎投资。</w:t>
      </w:r>
    </w:p>
    <w:p>
      <w:pPr>
        <w:pStyle w:val="1"/>
        <w:keepLines w:val="0"/>
        <w:pageBreakBefore w:val="0"/>
        <w:kinsoku/>
        <w:wordWrap/>
        <w:overflowPunct/>
        <w:topLinePunct w:val="0"/>
        <w:bidi w:val="0"/>
        <w:adjustRightInd/>
        <w:snapToGrid/>
        <w:spacing w:line="276" w:lineRule="auto"/>
        <w:ind w:firstLine="482" w:firstLineChars="200"/>
        <w:contextualSpacing/>
        <w:jc w:val="both"/>
        <w:textAlignment w:val="auto"/>
        <w:rPr>
          <w:rFonts w:eastAsia="黑体"/>
          <w:b/>
          <w:sz w:val="24"/>
          <w:highlight w:val="none"/>
        </w:rPr>
      </w:pPr>
      <w:r>
        <w:rPr>
          <w:rFonts w:hint="eastAsia" w:eastAsia="黑体"/>
          <w:b/>
          <w:sz w:val="24"/>
          <w:highlight w:val="none"/>
        </w:rPr>
        <w:t>最不利的投资情形：如果本理财产品投资组合内所配置资产发生损失，则理财产品到期/终止时投资者可能无法获得理财产品投资收益，甚至损失全部理财本金，投资者应在对此风险有充分认识基础上谨慎投资。</w:t>
      </w:r>
    </w:p>
    <w:p>
      <w:pPr>
        <w:pStyle w:val="1"/>
        <w:keepLines w:val="0"/>
        <w:pageBreakBefore w:val="0"/>
        <w:kinsoku/>
        <w:wordWrap/>
        <w:overflowPunct/>
        <w:topLinePunct w:val="0"/>
        <w:bidi w:val="0"/>
        <w:adjustRightInd/>
        <w:snapToGrid/>
        <w:spacing w:line="276" w:lineRule="auto"/>
        <w:ind w:firstLine="482" w:firstLineChars="200"/>
        <w:contextualSpacing/>
        <w:jc w:val="both"/>
        <w:textAlignment w:val="auto"/>
        <w:rPr>
          <w:rFonts w:eastAsia="黑体"/>
          <w:b/>
          <w:highlight w:val="none"/>
        </w:rPr>
      </w:pPr>
      <w:r>
        <w:rPr>
          <w:rFonts w:hint="eastAsia" w:eastAsia="黑体"/>
          <w:b/>
          <w:sz w:val="24"/>
          <w:highlight w:val="none"/>
        </w:rPr>
        <w:t>本产品说明书中的任何业绩比较基准、</w:t>
      </w:r>
      <w:r>
        <w:rPr>
          <w:rFonts w:eastAsia="黑体"/>
          <w:b/>
          <w:sz w:val="24"/>
          <w:highlight w:val="none"/>
        </w:rPr>
        <w:t>收益</w:t>
      </w:r>
      <w:r>
        <w:rPr>
          <w:rFonts w:hint="eastAsia" w:eastAsia="黑体"/>
          <w:b/>
          <w:sz w:val="24"/>
          <w:highlight w:val="none"/>
        </w:rPr>
        <w:t>示例或类似表述均不具有法律约束力，不等于预期收益，不代表投资者可能获得的实际收益，亦不构成华夏理财/代销机构对本理财产品的任何收益承诺。</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七、理财产品估值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olor w:val="auto"/>
          <w:highlight w:val="none"/>
        </w:rPr>
      </w:pPr>
      <w:r>
        <w:rPr>
          <w:rFonts w:hint="eastAsia" w:ascii="仿宋" w:hAnsi="仿宋" w:eastAsia="仿宋"/>
          <w:color w:val="auto"/>
          <w:highlight w:val="none"/>
        </w:rPr>
        <w:t>（一）估值对象</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highlight w:val="none"/>
        </w:rPr>
      </w:pPr>
      <w:r>
        <w:rPr>
          <w:rFonts w:hint="eastAsia" w:ascii="仿宋" w:hAnsi="仿宋" w:eastAsia="仿宋"/>
          <w:highlight w:val="none"/>
        </w:rPr>
        <w:t>本理财产品所投资的货币市场工具、标准化债权类资产以及资产管理产品等资产。</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olor w:val="auto"/>
          <w:highlight w:val="none"/>
        </w:rPr>
      </w:pPr>
      <w:r>
        <w:rPr>
          <w:rFonts w:hint="eastAsia" w:ascii="仿宋" w:hAnsi="仿宋" w:eastAsia="仿宋"/>
          <w:color w:val="auto"/>
          <w:highlight w:val="none"/>
        </w:rPr>
        <w:t>（二）估值原则</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理财</w:t>
      </w:r>
      <w:r>
        <w:rPr>
          <w:rFonts w:ascii="仿宋" w:hAnsi="仿宋" w:eastAsia="仿宋"/>
          <w:color w:val="auto"/>
          <w:highlight w:val="none"/>
        </w:rPr>
        <w:t>产品估值的目的是公允、合理地反映理财产品的价值</w:t>
      </w:r>
      <w:r>
        <w:rPr>
          <w:rFonts w:hint="eastAsia" w:ascii="仿宋" w:hAnsi="仿宋" w:eastAsia="仿宋"/>
          <w:color w:val="auto"/>
          <w:highlight w:val="none"/>
        </w:rPr>
        <w:t>。估值</w:t>
      </w:r>
      <w:r>
        <w:rPr>
          <w:rFonts w:ascii="仿宋" w:hAnsi="仿宋" w:eastAsia="仿宋"/>
          <w:color w:val="auto"/>
          <w:highlight w:val="none"/>
        </w:rPr>
        <w:t>中坚持公允价值计量原则。金融</w:t>
      </w:r>
      <w:r>
        <w:rPr>
          <w:rFonts w:hint="eastAsia" w:ascii="仿宋" w:hAnsi="仿宋" w:eastAsia="仿宋"/>
          <w:color w:val="auto"/>
          <w:highlight w:val="none"/>
        </w:rPr>
        <w:t>资产</w:t>
      </w:r>
      <w:r>
        <w:rPr>
          <w:rFonts w:ascii="仿宋" w:hAnsi="仿宋" w:eastAsia="仿宋"/>
          <w:color w:val="auto"/>
          <w:highlight w:val="none"/>
        </w:rPr>
        <w:t>的公允价值确定方法应与理财产品的类型相匹配。</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olor w:val="auto"/>
          <w:highlight w:val="none"/>
        </w:rPr>
      </w:pPr>
      <w:r>
        <w:rPr>
          <w:rFonts w:hint="eastAsia" w:ascii="仿宋" w:hAnsi="仿宋" w:eastAsia="仿宋"/>
          <w:color w:val="auto"/>
          <w:highlight w:val="none"/>
        </w:rPr>
        <w:t>（三）估值方法</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1.证券交易所上市的有价证券</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交易所上市的有价证券（包括股票等），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（2）在交易所上市交易或挂牌转让的固定收益品种，采用中证指数有限公司提供的估值价确定公允价值。若中证指数有限公司未提供价格数据，应采用估值技术确认公允价值，或者采用管理人和</w:t>
      </w:r>
      <w:r>
        <w:rPr>
          <w:rFonts w:hint="eastAsia" w:ascii="仿宋" w:hAnsi="仿宋" w:eastAsia="仿宋"/>
          <w:color w:val="auto"/>
          <w:highlight w:val="none"/>
          <w:lang w:eastAsia="zh-CN"/>
        </w:rPr>
        <w:t>托管机构</w:t>
      </w:r>
      <w:r>
        <w:rPr>
          <w:rFonts w:hint="eastAsia" w:ascii="仿宋" w:hAnsi="仿宋" w:eastAsia="仿宋"/>
          <w:color w:val="auto"/>
          <w:highlight w:val="none"/>
        </w:rPr>
        <w:t>共同认可的估值。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在交易所市场上市的含有转股权的债券（如可转换债券、可交换债券等）等，选取每日收盘价减去所含的应收利息得到的净价进行估值。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2</w:t>
      </w:r>
      <w:r>
        <w:rPr>
          <w:rFonts w:hint="eastAsia" w:ascii="仿宋" w:hAnsi="仿宋" w:eastAsia="仿宋"/>
          <w:color w:val="auto"/>
          <w:highlight w:val="none"/>
          <w:lang w:val="en-US" w:eastAsia="zh-CN"/>
        </w:rPr>
        <w:t>.</w:t>
      </w:r>
      <w:r>
        <w:rPr>
          <w:rFonts w:hint="eastAsia" w:ascii="仿宋" w:hAnsi="仿宋" w:eastAsia="仿宋"/>
          <w:color w:val="auto"/>
          <w:highlight w:val="none"/>
        </w:rPr>
        <w:t>处于未上市期间的有价证券应区分如下情况处理：</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（1）送股、转增股、配股和公开增发的新股，按估值日在证券交易所挂牌的同一股票的市价（收盘价）估值；该日无交易的，以最近一日的市价（收盘价）估值；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（2）首次公开发行未上市的股票、债券和权证，采用估值技术确定公允价值，在估值技术难以可靠计量公允价值的情况下，采用管理人和</w:t>
      </w:r>
      <w:r>
        <w:rPr>
          <w:rFonts w:hint="eastAsia" w:ascii="仿宋" w:hAnsi="仿宋" w:eastAsia="仿宋"/>
          <w:color w:val="auto"/>
          <w:highlight w:val="none"/>
          <w:lang w:eastAsia="zh-CN"/>
        </w:rPr>
        <w:t>托管机构</w:t>
      </w:r>
      <w:r>
        <w:rPr>
          <w:rFonts w:hint="eastAsia" w:ascii="仿宋" w:hAnsi="仿宋" w:eastAsia="仿宋"/>
          <w:color w:val="auto"/>
          <w:highlight w:val="none"/>
        </w:rPr>
        <w:t>共同认可的第三方机构提供的估值，或双方共同认可的估值；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（3）优先股采用估值技术确认公允价值，在估值技术难以可靠计量公允价值的情况下，采用管理人和</w:t>
      </w:r>
      <w:r>
        <w:rPr>
          <w:rFonts w:hint="eastAsia" w:ascii="仿宋" w:hAnsi="仿宋" w:eastAsia="仿宋"/>
          <w:color w:val="auto"/>
          <w:highlight w:val="none"/>
          <w:lang w:eastAsia="zh-CN"/>
        </w:rPr>
        <w:t>托管机构</w:t>
      </w:r>
      <w:r>
        <w:rPr>
          <w:rFonts w:hint="eastAsia" w:ascii="仿宋" w:hAnsi="仿宋" w:eastAsia="仿宋"/>
          <w:color w:val="auto"/>
          <w:highlight w:val="none"/>
        </w:rPr>
        <w:t>共同认可的第三方机构提供的估值，或双方共同认可的估值；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4）流通受限股票，包括但不限于非公开发行股票、公开发行有一定锁定期的股票、首次公开发行股票时公司股东公开发售股份、通过大宗交易取得的带限售期的股票等，不包括停牌、新发行未上市、回购交易中的质押券等流通受限股票，应以证券交易所上市交易的同一股票的公允价值为基础，引入第三方机构提供的流动性折扣进行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3.全国银行间债券市场交易的债券、资产支持证券等固定收益品种，采用中债金融估值中心有限公司提供的估值价确定公允价值。若中债金融估值中心有限公司未提供价格数据，应采用估值技术确认公允价值，或者管理人和</w:t>
      </w:r>
      <w:r>
        <w:rPr>
          <w:rFonts w:hint="eastAsia" w:ascii="仿宋" w:hAnsi="仿宋" w:eastAsia="仿宋"/>
          <w:color w:val="auto"/>
          <w:highlight w:val="none"/>
          <w:lang w:eastAsia="zh-CN"/>
        </w:rPr>
        <w:t>托管机构</w:t>
      </w:r>
      <w:r>
        <w:rPr>
          <w:rFonts w:hint="eastAsia" w:ascii="仿宋" w:hAnsi="仿宋" w:eastAsia="仿宋"/>
          <w:color w:val="auto"/>
          <w:highlight w:val="none"/>
        </w:rPr>
        <w:t>共同认可的估值。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4</w:t>
      </w:r>
      <w:r>
        <w:rPr>
          <w:rFonts w:hint="eastAsia" w:ascii="仿宋" w:hAnsi="仿宋" w:eastAsia="仿宋"/>
          <w:color w:val="auto"/>
          <w:highlight w:val="none"/>
          <w:lang w:val="en-US" w:eastAsia="zh-CN"/>
        </w:rPr>
        <w:t>.</w:t>
      </w:r>
      <w:r>
        <w:rPr>
          <w:rFonts w:hint="eastAsia" w:ascii="仿宋" w:hAnsi="仿宋" w:eastAsia="仿宋"/>
          <w:color w:val="auto"/>
          <w:highlight w:val="none"/>
        </w:rPr>
        <w:t>同一债券同时在两个或两个以上市场交易的，按债券所处的市场分别估值。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5.证券投资基金的估值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（1）场外申赎的开放式非货币基金以估值日可获取的基金管理人公布的最新基金份额净值估值；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（2）上市流通的证券投资基金（包括场内买入的ETF、封闭式基金、上市定期开放式基金）按估值日其所在证券交易所的收盘价估值；估值日无交易的，以最近一个交易日的收盘价估值；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（3）货币基金以估值日可获取的基金管理人公布的最新万份收益计提红利。</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6.银行存款（活期、定期）及证券资金账户存款以本金列示，按照约定利率在持有期内逐日计提应收利息，在利息到账日以实收利息入账；在上述表述无法真实反映公允价值的情况下，按照国家法律、法规和部门规章的最新规定进行合理的会计处理。</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7.债券回购和具有固定回报的买入返售金融资产：以买入/外放成本列示，按约定收益率逐日计提收益；在上述表述无法真实反映公允价值的情况下，按照国家法律、法规和部门规章的最新规定进行合理的会计处理。</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8.期货以估值日期货交易所的当日结算价估值，估值当日无结算价的，且最近交易日后经济环境未发生重大变化的，采用最近交易日结算价估值。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9.汇率估值方法</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若沪港通和深港通估值计算中涉及港币的，将以中国人民银行授权中国外汇交易中心估值日公布的港币对人民币汇率中间价估值。涉及其他货币的，如中国人民银行授权中国外汇交易中心估值日提供了该币种兑人民币的汇率，则取该汇率，如未有提供，以双方协商一致的原则确定汇率。</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10.场内期权以估值日交易所的结算价估值，该日无交易的，以最近一日的结算价为准。</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11.非标准化债权类资产采用估值技术确认公允价值或在相关法律法规以及监管部门允许的情况下采用摊余成本法估值。在估值技术难以可靠计量公允价值的情况下，采用管理人和</w:t>
      </w:r>
      <w:r>
        <w:rPr>
          <w:rFonts w:hint="eastAsia" w:ascii="仿宋" w:hAnsi="仿宋" w:eastAsia="仿宋"/>
          <w:color w:val="auto"/>
          <w:highlight w:val="none"/>
          <w:lang w:eastAsia="zh-CN"/>
        </w:rPr>
        <w:t>托管机构</w:t>
      </w:r>
      <w:r>
        <w:rPr>
          <w:rFonts w:hint="eastAsia" w:ascii="仿宋" w:hAnsi="仿宋" w:eastAsia="仿宋"/>
          <w:color w:val="auto"/>
          <w:highlight w:val="none"/>
        </w:rPr>
        <w:t>共同认可的估值。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12.以摊余成本法计量或以公允价值计量且其变动计入其他综合收益的资产，需按照会计准则规定采用合理的减值计量模型或第三方减值计量结果进行减值计提。计提减值不等同于金融资产已发生损失，仅为对未来风险的审慎预期。</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13.本系列产品所投资的资产管理产品以估值日公布的产品单位净值进行估值，估值日产品单位净值未公布的，以最近一个工作日产品单位净值计算。</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14.相关法律法规以及监管部门有强制规定的，从其规定。如有新增事项或变更事项，依法按最新规定计算。没有相关规定的，由产品管理人与</w:t>
      </w:r>
      <w:r>
        <w:rPr>
          <w:rFonts w:hint="eastAsia" w:ascii="仿宋" w:hAnsi="仿宋" w:eastAsia="仿宋"/>
          <w:color w:val="auto"/>
          <w:highlight w:val="none"/>
          <w:lang w:eastAsia="zh-CN"/>
        </w:rPr>
        <w:t>托管机构</w:t>
      </w:r>
      <w:r>
        <w:rPr>
          <w:rFonts w:hint="eastAsia" w:ascii="仿宋" w:hAnsi="仿宋" w:eastAsia="仿宋"/>
          <w:color w:val="auto"/>
          <w:highlight w:val="none"/>
        </w:rPr>
        <w:t>协商确定计算方法。</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15.如有确凿证据表明按上述规定不能客观反映理财产品财产公允价值的，产品管理人可根据具体情况，在与</w:t>
      </w:r>
      <w:r>
        <w:rPr>
          <w:rFonts w:hint="eastAsia" w:ascii="仿宋" w:hAnsi="仿宋" w:eastAsia="仿宋"/>
          <w:color w:val="auto"/>
          <w:highlight w:val="none"/>
          <w:lang w:eastAsia="zh-CN"/>
        </w:rPr>
        <w:t>托管机构</w:t>
      </w:r>
      <w:r>
        <w:rPr>
          <w:rFonts w:hint="eastAsia" w:ascii="仿宋" w:hAnsi="仿宋" w:eastAsia="仿宋"/>
          <w:color w:val="auto"/>
          <w:highlight w:val="none"/>
        </w:rPr>
        <w:t>商议后，按最能反映理财产品财产公允价值的方法估值。即使存在上述情况，产品管理人或</w:t>
      </w:r>
      <w:r>
        <w:rPr>
          <w:rFonts w:hint="eastAsia" w:ascii="仿宋" w:hAnsi="仿宋" w:eastAsia="仿宋"/>
          <w:color w:val="auto"/>
          <w:highlight w:val="none"/>
          <w:lang w:eastAsia="zh-CN"/>
        </w:rPr>
        <w:t>托管机构</w:t>
      </w:r>
      <w:r>
        <w:rPr>
          <w:rFonts w:hint="eastAsia" w:ascii="仿宋" w:hAnsi="仿宋" w:eastAsia="仿宋"/>
          <w:color w:val="auto"/>
          <w:highlight w:val="none"/>
        </w:rPr>
        <w:t>若采用上述规定的方法为理财产品财产进行了估值，仍应被认为采用了适当的估值方法。</w:t>
      </w:r>
    </w:p>
    <w:p>
      <w:pPr>
        <w:pStyle w:val="183"/>
        <w:keepNext w:val="0"/>
        <w:keepLines w:val="0"/>
        <w:pageBreakBefore w:val="0"/>
        <w:widowControl w:val="0"/>
        <w:kinsoku/>
        <w:wordWrap/>
        <w:overflowPunct/>
        <w:topLinePunct w:val="0"/>
        <w:bidi w:val="0"/>
        <w:adjustRightInd/>
        <w:snapToGrid/>
        <w:spacing w:line="276" w:lineRule="auto"/>
        <w:ind w:firstLine="482" w:firstLineChars="200"/>
        <w:contextualSpacing/>
        <w:jc w:val="both"/>
        <w:textAlignment w:val="auto"/>
        <w:rPr>
          <w:rFonts w:ascii="仿宋" w:hAnsi="仿宋" w:eastAsia="仿宋"/>
          <w:color w:val="auto"/>
          <w:highlight w:val="none"/>
        </w:rPr>
      </w:pPr>
      <w:r>
        <w:rPr>
          <w:rFonts w:hint="eastAsia" w:ascii="仿宋" w:hAnsi="仿宋" w:eastAsia="仿宋"/>
          <w:b/>
          <w:bCs/>
          <w:highlight w:val="none"/>
        </w:rPr>
        <w:t>以上“理财产品估值”章节所列的投资品种不代表本理财产品的实际投资范围，本产品实际可投资范围以本产品说明书“投资对象”章节列示为准。</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highlight w:val="none"/>
        </w:rPr>
      </w:pPr>
      <w:r>
        <w:rPr>
          <w:rFonts w:hint="eastAsia" w:ascii="仿宋" w:hAnsi="仿宋" w:eastAsia="仿宋"/>
          <w:highlight w:val="none"/>
        </w:rPr>
        <w:t>（四）暂停</w:t>
      </w:r>
      <w:r>
        <w:rPr>
          <w:rFonts w:ascii="仿宋" w:hAnsi="仿宋" w:eastAsia="仿宋"/>
          <w:highlight w:val="none"/>
        </w:rPr>
        <w:t>估值</w:t>
      </w:r>
    </w:p>
    <w:p>
      <w:pPr>
        <w:pStyle w:val="183"/>
        <w:keepNext w:val="0"/>
        <w:keepLines w:val="0"/>
        <w:pageBreakBefore w:val="0"/>
        <w:widowControl w:val="0"/>
        <w:kinsoku/>
        <w:wordWrap/>
        <w:overflowPunct/>
        <w:topLinePunct w:val="0"/>
        <w:bidi w:val="0"/>
        <w:adjustRightInd/>
        <w:snapToGrid/>
        <w:spacing w:line="276" w:lineRule="auto"/>
        <w:ind w:firstLine="482" w:firstLineChars="200"/>
        <w:contextualSpacing/>
        <w:jc w:val="both"/>
        <w:textAlignment w:val="auto"/>
        <w:rPr>
          <w:rFonts w:ascii="仿宋" w:hAnsi="仿宋" w:eastAsia="仿宋"/>
          <w:b/>
          <w:bCs/>
          <w:highlight w:val="none"/>
        </w:rPr>
      </w:pPr>
      <w:r>
        <w:rPr>
          <w:rFonts w:hint="eastAsia" w:ascii="仿宋" w:hAnsi="仿宋" w:eastAsia="仿宋"/>
          <w:b/>
          <w:bCs/>
          <w:highlight w:val="none"/>
        </w:rPr>
        <w:t>在发生下列情形之一的，</w:t>
      </w:r>
      <w:r>
        <w:rPr>
          <w:rFonts w:ascii="仿宋" w:hAnsi="仿宋" w:eastAsia="仿宋"/>
          <w:b/>
          <w:bCs/>
          <w:highlight w:val="none"/>
        </w:rPr>
        <w:t>管理人</w:t>
      </w:r>
      <w:r>
        <w:rPr>
          <w:rFonts w:hint="eastAsia" w:ascii="仿宋" w:hAnsi="仿宋" w:eastAsia="仿宋"/>
          <w:b/>
          <w:bCs/>
          <w:highlight w:val="none"/>
        </w:rPr>
        <w:t>可以暂停本理财产品</w:t>
      </w:r>
      <w:r>
        <w:rPr>
          <w:rFonts w:ascii="仿宋" w:hAnsi="仿宋" w:eastAsia="仿宋"/>
          <w:b/>
          <w:bCs/>
          <w:highlight w:val="none"/>
        </w:rPr>
        <w:t>估值</w:t>
      </w:r>
      <w:r>
        <w:rPr>
          <w:rFonts w:hint="eastAsia" w:ascii="仿宋" w:hAnsi="仿宋" w:eastAsia="仿宋"/>
          <w:b/>
          <w:bCs/>
          <w:highlight w:val="none"/>
        </w:rPr>
        <w:t>：</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1.理财产品投资所涉及的市场遇法定节假日或因其他原因暂停营业。</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2.因不可抗力或其他情形致使管理人、</w:t>
      </w:r>
      <w:r>
        <w:rPr>
          <w:rFonts w:hint="eastAsia" w:ascii="仿宋" w:hAnsi="仿宋" w:eastAsia="仿宋"/>
          <w:highlight w:val="none"/>
          <w:lang w:eastAsia="zh-CN"/>
        </w:rPr>
        <w:t>托管机构</w:t>
      </w:r>
      <w:r>
        <w:rPr>
          <w:rFonts w:hint="eastAsia" w:ascii="仿宋" w:hAnsi="仿宋" w:eastAsia="仿宋"/>
          <w:highlight w:val="none"/>
        </w:rPr>
        <w:t>无法准确评估资产价值。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3.监管机构认定或管理人、</w:t>
      </w:r>
      <w:r>
        <w:rPr>
          <w:rFonts w:hint="eastAsia" w:ascii="仿宋" w:hAnsi="仿宋" w:eastAsia="仿宋"/>
          <w:highlight w:val="none"/>
          <w:lang w:eastAsia="zh-CN"/>
        </w:rPr>
        <w:t>托管机构</w:t>
      </w:r>
      <w:r>
        <w:rPr>
          <w:rFonts w:hint="eastAsia" w:ascii="仿宋" w:hAnsi="仿宋" w:eastAsia="仿宋"/>
          <w:highlight w:val="none"/>
        </w:rPr>
        <w:t>有合理理由认为将影响本理财产品估值的其它情形。</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highlight w:val="none"/>
        </w:rPr>
      </w:pPr>
      <w:r>
        <w:rPr>
          <w:rFonts w:hint="eastAsia" w:ascii="仿宋" w:hAnsi="仿宋" w:eastAsia="仿宋"/>
          <w:highlight w:val="none"/>
        </w:rPr>
        <w:t>（五）</w:t>
      </w:r>
      <w:r>
        <w:rPr>
          <w:rFonts w:ascii="仿宋" w:hAnsi="仿宋" w:eastAsia="仿宋"/>
          <w:highlight w:val="none"/>
        </w:rPr>
        <w:t>估值</w:t>
      </w:r>
      <w:r>
        <w:rPr>
          <w:rFonts w:hint="eastAsia" w:ascii="仿宋" w:hAnsi="仿宋" w:eastAsia="仿宋"/>
          <w:highlight w:val="none"/>
        </w:rPr>
        <w:t>错误的</w:t>
      </w:r>
      <w:r>
        <w:rPr>
          <w:rFonts w:ascii="仿宋" w:hAnsi="仿宋" w:eastAsia="仿宋"/>
          <w:highlight w:val="none"/>
        </w:rPr>
        <w:t>处理</w:t>
      </w:r>
    </w:p>
    <w:p>
      <w:pPr>
        <w:pStyle w:val="183"/>
        <w:keepNext w:val="0"/>
        <w:keepLines w:val="0"/>
        <w:pageBreakBefore w:val="0"/>
        <w:widowControl w:val="0"/>
        <w:kinsoku/>
        <w:wordWrap/>
        <w:overflowPunct/>
        <w:topLinePunct w:val="0"/>
        <w:bidi w:val="0"/>
        <w:adjustRightInd/>
        <w:snapToGrid/>
        <w:spacing w:line="276" w:lineRule="auto"/>
        <w:ind w:firstLine="480" w:firstLineChars="200"/>
        <w:jc w:val="both"/>
        <w:textAlignment w:val="auto"/>
        <w:rPr>
          <w:rFonts w:ascii="Times New Roman" w:eastAsia="黑体" w:cs="Times New Roman"/>
          <w:b/>
          <w:color w:val="auto"/>
          <w:highlight w:val="none"/>
        </w:rPr>
      </w:pPr>
      <w:r>
        <w:rPr>
          <w:rFonts w:hint="eastAsia" w:ascii="仿宋" w:hAnsi="仿宋" w:eastAsia="仿宋" w:cs="仿宋"/>
          <w:highlight w:val="none"/>
        </w:rPr>
        <w:t>管理人和</w:t>
      </w:r>
      <w:r>
        <w:rPr>
          <w:rFonts w:hint="eastAsia" w:ascii="仿宋" w:hAnsi="仿宋" w:eastAsia="仿宋" w:cs="仿宋"/>
          <w:highlight w:val="none"/>
          <w:lang w:eastAsia="zh-CN"/>
        </w:rPr>
        <w:t>托管机构</w:t>
      </w:r>
      <w:r>
        <w:rPr>
          <w:rFonts w:hint="eastAsia" w:ascii="仿宋" w:hAnsi="仿宋" w:eastAsia="仿宋" w:cs="仿宋"/>
          <w:highlight w:val="none"/>
        </w:rPr>
        <w:t>将采取必要、适当、合理的措施确保产品资产估值的准确性、及时性。当估值出现错误时，管理人应当立即予以纠正，并采取合理的措施防止损失进一步扩大；由此导致投资者遭受损失的，由估值错误责任方按照过错程度各自对该估值错误导致投资者遭受的直接损失承担赔偿责任。由于本理财产品估值所用的价格来源出现错误，或由于其它不可抗力原因，管理人和</w:t>
      </w:r>
      <w:r>
        <w:rPr>
          <w:rFonts w:hint="eastAsia" w:ascii="仿宋" w:hAnsi="仿宋" w:eastAsia="仿宋" w:cs="仿宋"/>
          <w:highlight w:val="none"/>
          <w:lang w:eastAsia="zh-CN"/>
        </w:rPr>
        <w:t>托管机构</w:t>
      </w:r>
      <w:r>
        <w:rPr>
          <w:rFonts w:hint="eastAsia" w:ascii="仿宋" w:hAnsi="仿宋" w:eastAsia="仿宋" w:cs="仿宋"/>
          <w:highlight w:val="none"/>
        </w:rPr>
        <w:t>虽然已经采取必要、适当、合理的措施进行检查，但是未能发现该错误的，由此造成的产品资产估值错误，管理人和</w:t>
      </w:r>
      <w:r>
        <w:rPr>
          <w:rFonts w:hint="eastAsia" w:ascii="仿宋" w:hAnsi="仿宋" w:eastAsia="仿宋" w:cs="仿宋"/>
          <w:highlight w:val="none"/>
          <w:lang w:eastAsia="zh-CN"/>
        </w:rPr>
        <w:t>托管机构</w:t>
      </w:r>
      <w:r>
        <w:rPr>
          <w:rFonts w:hint="eastAsia" w:ascii="仿宋" w:hAnsi="仿宋" w:eastAsia="仿宋" w:cs="仿宋"/>
          <w:highlight w:val="none"/>
        </w:rPr>
        <w:t>可以在法律法规允许的范围内免除赔偿责任。但管理人和</w:t>
      </w:r>
      <w:r>
        <w:rPr>
          <w:rFonts w:hint="eastAsia" w:ascii="仿宋" w:hAnsi="仿宋" w:eastAsia="仿宋" w:cs="仿宋"/>
          <w:highlight w:val="none"/>
          <w:lang w:eastAsia="zh-CN"/>
        </w:rPr>
        <w:t>托管机构</w:t>
      </w:r>
      <w:r>
        <w:rPr>
          <w:rFonts w:hint="eastAsia" w:ascii="仿宋" w:hAnsi="仿宋" w:eastAsia="仿宋" w:cs="仿宋"/>
          <w:highlight w:val="none"/>
        </w:rPr>
        <w:t>应当积极采取必要的措施消除由此造成的影响。</w:t>
      </w:r>
      <w:r>
        <w:rPr>
          <w:rFonts w:hint="eastAsia" w:ascii="仿宋" w:hAnsi="仿宋" w:eastAsia="仿宋" w:cs="仿宋"/>
          <w:b/>
          <w:bCs/>
          <w:highlight w:val="none"/>
        </w:rPr>
        <w:t>当估值出现错误时，因估值错误而获得不当得利的投资者负有及时返还不当得利的义务。</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八、风险揭示</w:t>
      </w:r>
    </w:p>
    <w:p>
      <w:pPr>
        <w:pStyle w:val="183"/>
        <w:keepNext w:val="0"/>
        <w:keepLines w:val="0"/>
        <w:pageBreakBefore w:val="0"/>
        <w:kinsoku/>
        <w:wordWrap/>
        <w:overflowPunct/>
        <w:topLinePunct w:val="0"/>
        <w:bidi w:val="0"/>
        <w:adjustRightInd/>
        <w:snapToGrid/>
        <w:spacing w:line="276" w:lineRule="auto"/>
        <w:ind w:firstLine="480" w:firstLineChars="200"/>
        <w:contextualSpacing/>
        <w:jc w:val="both"/>
        <w:textAlignment w:val="auto"/>
        <w:rPr>
          <w:rFonts w:ascii="Times New Roman" w:eastAsia="黑体" w:cs="Times New Roman"/>
          <w:color w:val="auto"/>
          <w:highlight w:val="none"/>
        </w:rPr>
      </w:pPr>
      <w:r>
        <w:rPr>
          <w:rFonts w:ascii="仿宋" w:hAnsi="仿宋" w:eastAsia="仿宋"/>
          <w:color w:val="auto"/>
          <w:highlight w:val="none"/>
        </w:rPr>
        <w:t>本理财产品</w:t>
      </w:r>
      <w:r>
        <w:rPr>
          <w:rFonts w:hint="eastAsia" w:ascii="仿宋" w:hAnsi="仿宋" w:eastAsia="仿宋"/>
          <w:color w:val="auto"/>
          <w:highlight w:val="none"/>
        </w:rPr>
        <w:t>为非保本浮动收益净值型</w:t>
      </w:r>
      <w:r>
        <w:rPr>
          <w:rFonts w:ascii="仿宋" w:hAnsi="仿宋" w:eastAsia="仿宋"/>
          <w:color w:val="auto"/>
          <w:highlight w:val="none"/>
        </w:rPr>
        <w:t>理财产品，根据法律法规及监管要求的有关规定，特向</w:t>
      </w:r>
      <w:r>
        <w:rPr>
          <w:rFonts w:hint="eastAsia" w:ascii="仿宋" w:hAnsi="仿宋" w:eastAsia="仿宋"/>
          <w:color w:val="auto"/>
          <w:highlight w:val="none"/>
        </w:rPr>
        <w:t>投资者</w:t>
      </w:r>
      <w:r>
        <w:rPr>
          <w:rFonts w:ascii="仿宋" w:hAnsi="仿宋" w:eastAsia="仿宋"/>
          <w:color w:val="auto"/>
          <w:highlight w:val="none"/>
        </w:rPr>
        <w:t>提示如下：与银行存款比较，本理财产品存在投资风险，</w:t>
      </w:r>
      <w:r>
        <w:rPr>
          <w:rFonts w:hint="eastAsia" w:ascii="仿宋" w:hAnsi="仿宋" w:eastAsia="仿宋"/>
          <w:color w:val="auto"/>
          <w:highlight w:val="none"/>
        </w:rPr>
        <w:t>投资者</w:t>
      </w:r>
      <w:r>
        <w:rPr>
          <w:rFonts w:ascii="仿宋" w:hAnsi="仿宋" w:eastAsia="仿宋"/>
          <w:color w:val="auto"/>
          <w:highlight w:val="none"/>
        </w:rPr>
        <w:t>的本金和收益可能会因市场变动等原因而蒙受损失，</w:t>
      </w:r>
      <w:r>
        <w:rPr>
          <w:rFonts w:hint="eastAsia" w:ascii="仿宋" w:hAnsi="仿宋" w:eastAsia="仿宋"/>
          <w:color w:val="auto"/>
          <w:highlight w:val="none"/>
        </w:rPr>
        <w:t>投资者</w:t>
      </w:r>
      <w:r>
        <w:rPr>
          <w:rFonts w:ascii="仿宋" w:hAnsi="仿宋" w:eastAsia="仿宋"/>
          <w:color w:val="auto"/>
          <w:highlight w:val="none"/>
        </w:rPr>
        <w:t>应充分认识投资风险，谨慎投资。本理财产品可能面临的风险主要包括：</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一）本金及理财收益风险：本理财产品不保证本金及理财收益，理财产品收益来源于本理财产品项下投资组合的回报，容易受到企业信用状况变化、市场利率变化、汇率变化、投资组合运作情况以及管理人投资能力等</w:t>
      </w:r>
      <w:r>
        <w:rPr>
          <w:rFonts w:ascii="Times New Roman" w:eastAsia="黑体" w:cs="Times New Roman"/>
          <w:b/>
          <w:color w:val="auto"/>
          <w:highlight w:val="none"/>
        </w:rPr>
        <w:t>因素</w:t>
      </w:r>
      <w:r>
        <w:rPr>
          <w:rFonts w:hint="eastAsia" w:ascii="Times New Roman" w:eastAsia="黑体" w:cs="Times New Roman"/>
          <w:b/>
          <w:color w:val="auto"/>
          <w:highlight w:val="none"/>
        </w:rPr>
        <w:t>的影响。在最不利的情况下，</w:t>
      </w:r>
      <w:r>
        <w:rPr>
          <w:rFonts w:hint="eastAsia" w:eastAsia="黑体"/>
          <w:b/>
          <w:highlight w:val="none"/>
        </w:rPr>
        <w:t>理财产品到期/终止时投资者可能无法获得理财产品投资收益，甚至损失全部理财本金</w:t>
      </w:r>
      <w:r>
        <w:rPr>
          <w:rFonts w:hint="eastAsia" w:ascii="Times New Roman" w:eastAsia="黑体" w:cs="Times New Roman"/>
          <w:b/>
          <w:color w:val="auto"/>
          <w:highlight w:val="none"/>
        </w:rPr>
        <w:t>，由此产生的风险由投资者自行承担。</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（二）信用风险：如理财产品</w:t>
      </w:r>
      <w:bookmarkStart w:id="4" w:name="_Hlk76300274"/>
      <w:r>
        <w:rPr>
          <w:rFonts w:hint="eastAsia" w:ascii="Times New Roman" w:eastAsia="黑体" w:cs="Times New Roman"/>
          <w:b/>
          <w:color w:val="auto"/>
          <w:highlight w:val="none"/>
        </w:rPr>
        <w:t>所投资的资产</w:t>
      </w:r>
      <w:bookmarkEnd w:id="4"/>
      <w:r>
        <w:rPr>
          <w:rFonts w:hint="eastAsia" w:ascii="Times New Roman" w:eastAsia="黑体" w:cs="Times New Roman"/>
          <w:b/>
          <w:color w:val="auto"/>
          <w:highlight w:val="none"/>
        </w:rPr>
        <w:t>发行人、资产管理计划管理人、信托受托人、债务人、担保人（如有）等相关主体发生违约，可能导致无法按时支付本金及理财收益，进而导致本理财产品收益为零甚至本金遭受损失。</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ascii="Times New Roman" w:eastAsia="黑体" w:cs="Times New Roman"/>
          <w:b/>
          <w:color w:val="auto"/>
          <w:highlight w:val="none"/>
        </w:rPr>
        <w:t>（三）市场风险：本理财产品为非保本浮动收益净值型理财产品，不排除因</w:t>
      </w:r>
      <w:r>
        <w:rPr>
          <w:rFonts w:hint="eastAsia" w:ascii="Times New Roman" w:eastAsia="黑体" w:cs="Times New Roman"/>
          <w:b/>
          <w:color w:val="auto"/>
          <w:highlight w:val="none"/>
        </w:rPr>
        <w:t>资产</w:t>
      </w:r>
      <w:r>
        <w:rPr>
          <w:rFonts w:ascii="Times New Roman" w:eastAsia="黑体" w:cs="Times New Roman"/>
          <w:b/>
          <w:color w:val="auto"/>
          <w:highlight w:val="none"/>
        </w:rPr>
        <w:t>价格、利率、信用</w:t>
      </w:r>
      <w:r>
        <w:rPr>
          <w:rFonts w:hint="eastAsia" w:ascii="Times New Roman" w:eastAsia="黑体" w:cs="Times New Roman"/>
          <w:b/>
          <w:color w:val="auto"/>
          <w:highlight w:val="none"/>
        </w:rPr>
        <w:t>、汇率</w:t>
      </w:r>
      <w:r>
        <w:rPr>
          <w:rFonts w:ascii="Times New Roman" w:eastAsia="黑体" w:cs="Times New Roman"/>
          <w:b/>
          <w:color w:val="auto"/>
          <w:highlight w:val="none"/>
        </w:rPr>
        <w:t>以及国家政策等的变动导致本理财产品净值遭受损失的可能。</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（四）流动性风险：</w:t>
      </w:r>
      <w:r>
        <w:rPr>
          <w:rFonts w:ascii="Times New Roman" w:eastAsia="黑体" w:cs="Times New Roman"/>
          <w:b/>
          <w:color w:val="auto"/>
          <w:highlight w:val="none"/>
        </w:rPr>
        <w:t>本理财产品为</w:t>
      </w:r>
      <w:r>
        <w:rPr>
          <w:rFonts w:hint="eastAsia" w:ascii="Times New Roman" w:eastAsia="黑体" w:cs="Times New Roman"/>
          <w:b/>
          <w:color w:val="auto"/>
          <w:highlight w:val="none"/>
        </w:rPr>
        <w:t>封闭</w:t>
      </w:r>
      <w:r>
        <w:rPr>
          <w:rFonts w:ascii="Times New Roman" w:eastAsia="黑体" w:cs="Times New Roman"/>
          <w:b/>
          <w:color w:val="auto"/>
          <w:highlight w:val="none"/>
        </w:rPr>
        <w:t>式净值型理财产品，</w:t>
      </w:r>
      <w:r>
        <w:rPr>
          <w:rFonts w:hint="eastAsia" w:ascii="Times New Roman" w:eastAsia="黑体" w:cs="Times New Roman"/>
          <w:b/>
          <w:color w:val="auto"/>
          <w:highlight w:val="none"/>
        </w:rPr>
        <w:t>除非出现本产品说明书规定的情况，</w:t>
      </w:r>
      <w:r>
        <w:rPr>
          <w:rFonts w:ascii="Times New Roman" w:eastAsia="黑体" w:cs="Times New Roman"/>
          <w:b/>
          <w:color w:val="auto"/>
          <w:highlight w:val="none"/>
        </w:rPr>
        <w:t>投资者无权随时</w:t>
      </w:r>
      <w:r>
        <w:rPr>
          <w:rFonts w:eastAsia="黑体"/>
          <w:b/>
          <w:highlight w:val="none"/>
        </w:rPr>
        <w:t>提前赎回</w:t>
      </w:r>
      <w:r>
        <w:rPr>
          <w:rFonts w:hint="eastAsia" w:eastAsia="黑体"/>
          <w:b/>
          <w:highlight w:val="none"/>
        </w:rPr>
        <w:t>或</w:t>
      </w:r>
      <w:r>
        <w:rPr>
          <w:rFonts w:ascii="Times New Roman" w:eastAsia="黑体" w:cs="Times New Roman"/>
          <w:b/>
          <w:color w:val="auto"/>
          <w:highlight w:val="none"/>
        </w:rPr>
        <w:t>终止</w:t>
      </w:r>
      <w:r>
        <w:rPr>
          <w:rFonts w:hint="eastAsia" w:ascii="Times New Roman" w:eastAsia="黑体" w:cs="Times New Roman"/>
          <w:b/>
          <w:color w:val="auto"/>
          <w:highlight w:val="none"/>
        </w:rPr>
        <w:t>本</w:t>
      </w:r>
      <w:r>
        <w:rPr>
          <w:rFonts w:ascii="Times New Roman" w:eastAsia="黑体" w:cs="Times New Roman"/>
          <w:b/>
          <w:color w:val="auto"/>
          <w:highlight w:val="none"/>
        </w:rPr>
        <w:t>理财产品，</w:t>
      </w:r>
      <w:r>
        <w:rPr>
          <w:rFonts w:hint="eastAsia" w:ascii="Times New Roman" w:eastAsia="黑体" w:cs="Times New Roman"/>
          <w:b/>
          <w:color w:val="auto"/>
          <w:highlight w:val="none"/>
        </w:rPr>
        <w:t>可能导致投资者需要资金时不能随时变现，并可能丧失其他投资机会。</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（五）投资风险：本理财产品的实际收益率取决于所投资金融工具的收益率，投资者应对此有充分的认识。除本产品说明书中明确规定的收益或收益分配方式外，任何业绩比较基准、</w:t>
      </w:r>
      <w:r>
        <w:rPr>
          <w:rFonts w:ascii="Times New Roman" w:eastAsia="黑体" w:cs="Times New Roman"/>
          <w:b/>
          <w:color w:val="auto"/>
          <w:highlight w:val="none"/>
        </w:rPr>
        <w:t>收益</w:t>
      </w:r>
      <w:r>
        <w:rPr>
          <w:rFonts w:hint="eastAsia" w:ascii="Times New Roman" w:eastAsia="黑体" w:cs="Times New Roman"/>
          <w:b/>
          <w:color w:val="auto"/>
          <w:highlight w:val="none"/>
        </w:rPr>
        <w:t>示例或类似表述均不具有法律约束力，不代表投资者可能获得的实际收益，亦不构成华夏理财/代销机构对本理财产品的任何收益承诺。</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（六）汇率风险：</w:t>
      </w:r>
      <w:r>
        <w:rPr>
          <w:rFonts w:hint="eastAsia" w:ascii="Times New Roman" w:hAnsi="Calibri" w:eastAsia="黑体" w:cs="Times New Roman"/>
          <w:b/>
          <w:color w:val="auto"/>
          <w:highlight w:val="none"/>
        </w:rPr>
        <w:t>投资境外资产时，以非本币计价的各类资产受汇率波动影响而引起本币估值下的委托财产的价格波动的风险。若本理财产品的投资及收益币种是人民币，在以人民币投资外汇计价资产时，除了投资资产本身的收益或损失外，汇率变化会带来额外的损失或收益，从而对投资者收益产生影响；反之亦然。</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（七）法律及政策风险：本理财产品是根据当前的相关法规和政策设计的。如国家宏观政策以及市场相关法规政策发生变化，影响理财产品的受理、投资、偿还等的正常进行，</w:t>
      </w:r>
      <w:r>
        <w:rPr>
          <w:rFonts w:ascii="Times New Roman" w:eastAsia="黑体" w:cs="Times New Roman"/>
          <w:b/>
          <w:color w:val="auto"/>
          <w:highlight w:val="none"/>
        </w:rPr>
        <w:t>可能影响本理财产品的投资运作和收益，甚至</w:t>
      </w:r>
      <w:r>
        <w:rPr>
          <w:rFonts w:hint="eastAsia" w:ascii="Times New Roman" w:eastAsia="黑体" w:cs="Times New Roman"/>
          <w:b/>
          <w:color w:val="auto"/>
          <w:highlight w:val="none"/>
        </w:rPr>
        <w:t>造成</w:t>
      </w:r>
      <w:r>
        <w:rPr>
          <w:rFonts w:ascii="Times New Roman" w:eastAsia="黑体" w:cs="Times New Roman"/>
          <w:b/>
          <w:color w:val="auto"/>
          <w:highlight w:val="none"/>
        </w:rPr>
        <w:t>本金损失。</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（八）</w:t>
      </w:r>
      <w:r>
        <w:rPr>
          <w:rFonts w:ascii="Times New Roman" w:eastAsia="黑体" w:cs="Times New Roman"/>
          <w:b/>
          <w:color w:val="auto"/>
          <w:highlight w:val="none"/>
        </w:rPr>
        <w:t>理财产品不成立风险：</w:t>
      </w:r>
      <w:r>
        <w:rPr>
          <w:rFonts w:hint="eastAsia" w:ascii="Times New Roman" w:eastAsia="黑体" w:cs="Times New Roman"/>
          <w:b/>
          <w:color w:val="auto"/>
          <w:highlight w:val="none"/>
        </w:rPr>
        <w:t>募集期</w:t>
      </w:r>
      <w:r>
        <w:rPr>
          <w:rFonts w:ascii="Times New Roman" w:eastAsia="黑体" w:cs="Times New Roman"/>
          <w:b/>
          <w:color w:val="auto"/>
          <w:highlight w:val="none"/>
        </w:rPr>
        <w:t>结束，如理财产品</w:t>
      </w:r>
      <w:r>
        <w:rPr>
          <w:rFonts w:hint="eastAsia" w:ascii="Times New Roman" w:eastAsia="黑体" w:cs="Times New Roman"/>
          <w:b/>
          <w:color w:val="auto"/>
          <w:highlight w:val="none"/>
        </w:rPr>
        <w:t>募集</w:t>
      </w:r>
      <w:r>
        <w:rPr>
          <w:rFonts w:ascii="Times New Roman" w:eastAsia="黑体" w:cs="Times New Roman"/>
          <w:b/>
          <w:color w:val="auto"/>
          <w:highlight w:val="none"/>
        </w:rPr>
        <w:t>总金额未达到发行</w:t>
      </w:r>
      <w:r>
        <w:rPr>
          <w:rFonts w:hint="eastAsia" w:ascii="Times New Roman" w:eastAsia="黑体" w:cs="Times New Roman"/>
          <w:b/>
          <w:color w:val="auto"/>
          <w:highlight w:val="none"/>
        </w:rPr>
        <w:t>规模</w:t>
      </w:r>
      <w:r>
        <w:rPr>
          <w:rFonts w:ascii="Times New Roman" w:eastAsia="黑体" w:cs="Times New Roman"/>
          <w:b/>
          <w:color w:val="auto"/>
          <w:highlight w:val="none"/>
        </w:rPr>
        <w:t>下限</w:t>
      </w:r>
      <w:r>
        <w:rPr>
          <w:rFonts w:hint="eastAsia" w:ascii="Times New Roman" w:eastAsia="黑体" w:cs="Times New Roman"/>
          <w:b/>
          <w:color w:val="auto"/>
          <w:highlight w:val="none"/>
        </w:rPr>
        <w:t>；或者市场发生重大变化，华夏理财无法或者经其合理判断难以按照本产品说明书向投资者提供本理财产品；或者法律法规、监管规定、国家政策发生变化导致无法按照本产品说明书向投资者提供本理财产品，</w:t>
      </w:r>
      <w:r>
        <w:rPr>
          <w:rFonts w:ascii="Times New Roman" w:eastAsia="黑体" w:cs="Times New Roman"/>
          <w:b/>
          <w:color w:val="auto"/>
          <w:highlight w:val="none"/>
        </w:rPr>
        <w:t>华夏</w:t>
      </w:r>
      <w:r>
        <w:rPr>
          <w:rFonts w:hint="eastAsia" w:ascii="Times New Roman" w:eastAsia="黑体" w:cs="Times New Roman"/>
          <w:b/>
          <w:color w:val="auto"/>
          <w:highlight w:val="none"/>
        </w:rPr>
        <w:t>理财</w:t>
      </w:r>
      <w:r>
        <w:rPr>
          <w:rFonts w:ascii="Times New Roman" w:eastAsia="黑体" w:cs="Times New Roman"/>
          <w:b/>
          <w:color w:val="auto"/>
          <w:highlight w:val="none"/>
        </w:rPr>
        <w:t>有权宣布本理财产品不成立。</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ascii="Times New Roman" w:eastAsia="黑体" w:cs="Times New Roman"/>
          <w:b/>
          <w:color w:val="auto"/>
          <w:highlight w:val="none"/>
        </w:rPr>
        <w:t>（</w:t>
      </w:r>
      <w:r>
        <w:rPr>
          <w:rFonts w:hint="eastAsia" w:ascii="Times New Roman" w:eastAsia="黑体" w:cs="Times New Roman"/>
          <w:b/>
          <w:color w:val="auto"/>
          <w:highlight w:val="none"/>
        </w:rPr>
        <w:t>九</w:t>
      </w:r>
      <w:r>
        <w:rPr>
          <w:rFonts w:ascii="Times New Roman" w:eastAsia="黑体" w:cs="Times New Roman"/>
          <w:b/>
          <w:color w:val="auto"/>
          <w:highlight w:val="none"/>
        </w:rPr>
        <w:t>）</w:t>
      </w:r>
      <w:r>
        <w:rPr>
          <w:rFonts w:hint="eastAsia" w:ascii="Times New Roman" w:eastAsia="黑体" w:cs="Times New Roman"/>
          <w:b/>
          <w:color w:val="auto"/>
          <w:highlight w:val="none"/>
        </w:rPr>
        <w:t>提前终止风险：如遇前述提前</w:t>
      </w:r>
      <w:r>
        <w:rPr>
          <w:rFonts w:ascii="Times New Roman" w:eastAsia="黑体" w:cs="Times New Roman"/>
          <w:b/>
          <w:color w:val="auto"/>
          <w:highlight w:val="none"/>
        </w:rPr>
        <w:t>终止权</w:t>
      </w:r>
      <w:r>
        <w:rPr>
          <w:rFonts w:hint="eastAsia" w:ascii="Times New Roman" w:eastAsia="黑体" w:cs="Times New Roman"/>
          <w:b/>
          <w:color w:val="auto"/>
          <w:highlight w:val="none"/>
        </w:rPr>
        <w:t>条款中涉及</w:t>
      </w:r>
      <w:r>
        <w:rPr>
          <w:rFonts w:ascii="Times New Roman" w:eastAsia="黑体" w:cs="Times New Roman"/>
          <w:b/>
          <w:color w:val="auto"/>
          <w:highlight w:val="none"/>
        </w:rPr>
        <w:t>的</w:t>
      </w:r>
      <w:r>
        <w:rPr>
          <w:rFonts w:hint="eastAsia" w:ascii="Times New Roman" w:eastAsia="黑体" w:cs="Times New Roman"/>
          <w:b/>
          <w:color w:val="auto"/>
          <w:highlight w:val="none"/>
        </w:rPr>
        <w:t>情形，华夏理财有权提前终止本理财产品，投资者可能收益为零甚至损失理财本金。</w:t>
      </w:r>
    </w:p>
    <w:p>
      <w:pPr>
        <w:pStyle w:val="1"/>
        <w:keepNext w:val="0"/>
        <w:keepLines w:val="0"/>
        <w:pageBreakBefore w:val="0"/>
        <w:widowControl/>
        <w:kinsoku/>
        <w:wordWrap/>
        <w:overflowPunct/>
        <w:topLinePunct w:val="0"/>
        <w:bidi w:val="0"/>
        <w:adjustRightInd/>
        <w:snapToGrid/>
        <w:spacing w:line="276" w:lineRule="auto"/>
        <w:ind w:firstLine="482" w:firstLineChars="200"/>
        <w:contextualSpacing/>
        <w:jc w:val="both"/>
        <w:textAlignment w:val="auto"/>
        <w:rPr>
          <w:rFonts w:eastAsia="黑体"/>
          <w:b/>
          <w:sz w:val="24"/>
          <w:highlight w:val="none"/>
        </w:rPr>
      </w:pPr>
      <w:r>
        <w:rPr>
          <w:rFonts w:hint="eastAsia" w:eastAsia="黑体"/>
          <w:b/>
          <w:sz w:val="24"/>
          <w:highlight w:val="none"/>
        </w:rPr>
        <w:t>（十）延期风险：</w:t>
      </w:r>
      <w:r>
        <w:rPr>
          <w:rFonts w:eastAsia="黑体"/>
          <w:b/>
          <w:sz w:val="24"/>
          <w:highlight w:val="none"/>
        </w:rPr>
        <w:t>如因与理财产品投资资产相关的</w:t>
      </w:r>
      <w:r>
        <w:rPr>
          <w:rFonts w:hint="eastAsia" w:eastAsia="黑体"/>
          <w:b/>
          <w:sz w:val="24"/>
          <w:highlight w:val="none"/>
        </w:rPr>
        <w:t>资产管理计划管理人、</w:t>
      </w:r>
      <w:r>
        <w:rPr>
          <w:rFonts w:eastAsia="黑体"/>
          <w:b/>
          <w:sz w:val="24"/>
          <w:highlight w:val="none"/>
        </w:rPr>
        <w:t>信托受托人、债务人、担保人（如有）等主体发生违约，导致本理财产品不能按时偿</w:t>
      </w:r>
      <w:r>
        <w:rPr>
          <w:rFonts w:hint="eastAsia" w:eastAsia="黑体"/>
          <w:b/>
          <w:sz w:val="24"/>
          <w:highlight w:val="none"/>
        </w:rPr>
        <w:t>付</w:t>
      </w:r>
      <w:r>
        <w:rPr>
          <w:rFonts w:eastAsia="黑体"/>
          <w:b/>
          <w:sz w:val="24"/>
          <w:highlight w:val="none"/>
        </w:rPr>
        <w:t>理财本金及收益</w:t>
      </w:r>
      <w:r>
        <w:rPr>
          <w:rFonts w:hint="eastAsia" w:eastAsia="黑体"/>
          <w:b/>
          <w:sz w:val="24"/>
          <w:highlight w:val="none"/>
        </w:rPr>
        <w:t>；或因市场成交量不足、资产限制赎回、暂停交易、缺乏意愿交易对手等原因，管理人未能及时完成资产变现，则本</w:t>
      </w:r>
      <w:r>
        <w:rPr>
          <w:rFonts w:eastAsia="黑体"/>
          <w:b/>
          <w:sz w:val="24"/>
          <w:highlight w:val="none"/>
        </w:rPr>
        <w:t>理财</w:t>
      </w:r>
      <w:r>
        <w:rPr>
          <w:rFonts w:hint="eastAsia" w:eastAsia="黑体"/>
          <w:b/>
          <w:sz w:val="24"/>
          <w:highlight w:val="none"/>
        </w:rPr>
        <w:t>产品</w:t>
      </w:r>
      <w:r>
        <w:rPr>
          <w:rFonts w:eastAsia="黑体"/>
          <w:b/>
          <w:sz w:val="24"/>
          <w:highlight w:val="none"/>
        </w:rPr>
        <w:t>期限将相应延长。</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十一）信息传递风险：华夏理财按照本产品说明书有关信息披露的约定，发布理财产品信息。投资者应根据本产品说明书有关信息披露的约定及时查询。如果投资者未及时查询而未能及时了解理财产品信息，并由此影响投资者的投资决策，因此产生的责任和风险由投资者自行承担。另外，投资者预留在</w:t>
      </w:r>
      <w:bookmarkStart w:id="5" w:name="_Hlk76301212"/>
      <w:r>
        <w:rPr>
          <w:rFonts w:hint="eastAsia" w:ascii="Times New Roman" w:eastAsia="黑体" w:cs="Times New Roman"/>
          <w:b/>
          <w:color w:val="auto"/>
          <w:highlight w:val="none"/>
        </w:rPr>
        <w:t>华夏理财/代销机构</w:t>
      </w:r>
      <w:bookmarkEnd w:id="5"/>
      <w:r>
        <w:rPr>
          <w:rFonts w:hint="eastAsia" w:ascii="Times New Roman" w:eastAsia="黑体" w:cs="Times New Roman"/>
          <w:b/>
          <w:color w:val="auto"/>
          <w:highlight w:val="none"/>
        </w:rPr>
        <w:t>的有效联系方式变更的，应及时通知华夏理财/代销机构。因投资者未及时告知导致的信息传递失败的风险由投资者自行承担。</w:t>
      </w:r>
    </w:p>
    <w:p>
      <w:pPr>
        <w:pStyle w:val="1"/>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eastAsia="黑体"/>
          <w:b/>
          <w:sz w:val="24"/>
          <w:highlight w:val="none"/>
        </w:rPr>
      </w:pPr>
      <w:r>
        <w:rPr>
          <w:rFonts w:hint="eastAsia" w:eastAsia="黑体"/>
          <w:b/>
          <w:sz w:val="24"/>
          <w:highlight w:val="none"/>
        </w:rPr>
        <w:t>（十二）关联关系风险：本理财产品的代销机构与</w:t>
      </w:r>
      <w:r>
        <w:rPr>
          <w:rFonts w:hint="eastAsia" w:eastAsia="黑体"/>
          <w:b/>
          <w:sz w:val="24"/>
          <w:highlight w:val="none"/>
          <w:lang w:eastAsia="zh-CN"/>
        </w:rPr>
        <w:t>托管机构</w:t>
      </w:r>
      <w:r>
        <w:rPr>
          <w:rFonts w:hint="eastAsia" w:eastAsia="黑体"/>
          <w:b/>
          <w:sz w:val="24"/>
          <w:highlight w:val="none"/>
        </w:rPr>
        <w:t>可能为管理人的关联方，华夏理财已履行了现行法律法规和监管规定的必要程序。本理财产品可能涉及的关联交易类型包括但不限于投资于管理人的主要股东或与管理人有重大利害关系的机构发行或承销的证券，以及与关联方之间开展的资金融通、存款、金融产品投资等，上述情形可能带来交易定价不合理从而影响理财产品净值。本理财产品的销售机构可能包含华夏银行股份有限公司，其为管理人华夏理财的控股股东，二者存在关联关系。如因存在关联关系，导致销售机构对本理财产品未能进行独立、审慎判断或放松准入管理，可能会给投资者造成潜在风险。</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（十三）拟投资市场及资产的流动性风险评估</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hint="eastAsia" w:ascii="黑体" w:hAnsi="黑体" w:eastAsia="黑体" w:cs="黑体"/>
          <w:b/>
          <w:highlight w:val="none"/>
          <w:lang w:val="en-US" w:eastAsia="zh-CN"/>
        </w:rPr>
      </w:pPr>
      <w:r>
        <w:rPr>
          <w:rFonts w:hint="eastAsia" w:ascii="黑体" w:hAnsi="黑体" w:eastAsia="黑体" w:cs="黑体"/>
          <w:b/>
          <w:highlight w:val="none"/>
          <w:lang w:val="en-US" w:eastAsia="zh-CN"/>
        </w:rPr>
        <w:t>本理财产品的投资市场主要为证券交易所、全国银行间债券市场等证券流动性较好的交易场所，主要投资对象为具有良好流动性的金融工具。同时，本理财产品基于分散投资的原则在行业和单个证券方面未有高集中度的特征，综合评估在正常市场环境下本理财产品的流动性风险适中。本理财产品如投资于非标准化债权资产，将严格执行监管有关限额管理、流动性管理等监管标准要求，防范并控制集中度和期限错配等风险。</w:t>
      </w:r>
      <w:r>
        <w:rPr>
          <w:rFonts w:hint="eastAsia" w:ascii="黑体" w:hAnsi="黑体" w:eastAsia="黑体" w:cs="黑体"/>
          <w:b/>
          <w:highlight w:val="none"/>
          <w:lang w:val="en-US" w:eastAsia="zh-CN"/>
        </w:rPr>
        <w:br w:type="textWrapping"/>
      </w:r>
      <w:r>
        <w:rPr>
          <w:rFonts w:hint="eastAsia" w:ascii="黑体" w:hAnsi="黑体" w:eastAsia="黑体" w:cs="黑体"/>
          <w:b/>
          <w:highlight w:val="none"/>
          <w:lang w:val="en-US" w:eastAsia="zh-CN"/>
        </w:rPr>
        <w:t xml:space="preserve">    但不排除在特定阶段、特定市场环境下特定投资标的出现流动性较差的情况。因此，本理财产品投资于上述资产时，可能存在以下流动性风险：一是管理人建仓或调整组合时，可能由于特定投资标的流动性相对不足而无法按预期的价格买进或卖出；二是为应对理财产品到期变现或履行其他支付义务，本理财产品被迫以不适当的价格卖出股票、债券或其他资产（此处所列投资品种不代表本产品的实际投资范围，本产品实际可投资范围以本产品说明书“投资对象”章节列示为准）。两者均可能使本理财产品资产净值受到不利影响。</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（十四）流动性应对措施及对投资者的潜在影响</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管理人可依照法律法规及理财产品销售文件的约定，综合运用各类流动性应对措施，作为特定情形下流动性风险管理的辅助手段，包括但不限于：设定单一投资者认购金额上限、拒绝大额认购、暂停认购，以及监管机构规定的其他风险应对措施。</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当管理人实施流动性应对措施时，可能对投资者具有一定的潜在影响，包括但不限于不能认购本理财产品、认购交易确认失败等。</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hint="eastAsia" w:ascii="黑体" w:hAnsi="黑体" w:eastAsia="黑体" w:cs="黑体"/>
          <w:b/>
          <w:highlight w:val="none"/>
        </w:rPr>
      </w:pPr>
      <w:r>
        <w:rPr>
          <w:rFonts w:hint="eastAsia" w:ascii="Times New Roman" w:eastAsia="黑体" w:cs="Times New Roman"/>
          <w:b/>
          <w:highlight w:val="none"/>
          <w:lang w:eastAsia="zh-CN"/>
        </w:rPr>
        <w:t>（</w:t>
      </w:r>
      <w:r>
        <w:rPr>
          <w:rFonts w:hint="eastAsia" w:ascii="Times New Roman" w:eastAsia="黑体" w:cs="Times New Roman"/>
          <w:b/>
          <w:highlight w:val="none"/>
          <w:lang w:val="en-US" w:eastAsia="zh-CN"/>
        </w:rPr>
        <w:t>十五</w:t>
      </w:r>
      <w:r>
        <w:rPr>
          <w:rFonts w:hint="eastAsia" w:ascii="Times New Roman" w:eastAsia="黑体" w:cs="Times New Roman"/>
          <w:b/>
          <w:highlight w:val="none"/>
          <w:lang w:eastAsia="zh-CN"/>
        </w:rPr>
        <w:t>）</w:t>
      </w:r>
      <w:r>
        <w:rPr>
          <w:rFonts w:hint="eastAsia" w:ascii="Times New Roman" w:eastAsia="黑体" w:cs="Times New Roman"/>
          <w:b/>
          <w:highlight w:val="none"/>
        </w:rPr>
        <w:t>其他风险：由于自然灾害、战争或国家政策变化等不能预见、不能避免、不能克服的不可抗力或非华夏理财原因发生的计算机系统故障、网络故障、通讯故障、电力故障等导致理财产品所投资资产收益降低或损失，甚至</w:t>
      </w:r>
      <w:r>
        <w:rPr>
          <w:rFonts w:hint="eastAsia" w:ascii="黑体" w:hAnsi="黑体" w:eastAsia="黑体" w:cs="黑体"/>
          <w:b/>
          <w:highlight w:val="none"/>
        </w:rPr>
        <w:t>影响理财产品的受理、投资、偿还等的正常进行，进而影响理财产品的投资收益和本金安全。</w:t>
      </w:r>
    </w:p>
    <w:p>
      <w:pPr>
        <w:pStyle w:val="183"/>
        <w:keepNext w:val="0"/>
        <w:keepLines w:val="0"/>
        <w:pageBreakBefore w:val="0"/>
        <w:widowControl w:val="0"/>
        <w:kinsoku/>
        <w:wordWrap/>
        <w:overflowPunct/>
        <w:topLinePunct w:val="0"/>
        <w:bidi w:val="0"/>
        <w:adjustRightInd/>
        <w:snapToGrid/>
        <w:spacing w:line="276" w:lineRule="auto"/>
        <w:ind w:firstLine="482" w:firstLineChars="200"/>
        <w:contextualSpacing/>
        <w:jc w:val="both"/>
        <w:textAlignment w:val="auto"/>
        <w:rPr>
          <w:rFonts w:hint="eastAsia" w:ascii="黑体" w:hAnsi="黑体" w:eastAsia="黑体" w:cs="黑体"/>
          <w:b/>
          <w:highlight w:val="none"/>
        </w:rPr>
      </w:pPr>
      <w:r>
        <w:rPr>
          <w:rFonts w:hint="eastAsia" w:ascii="黑体" w:hAnsi="黑体" w:eastAsia="黑体" w:cs="黑体"/>
          <w:b/>
          <w:highlight w:val="none"/>
          <w:lang w:eastAsia="zh-CN"/>
        </w:rPr>
        <w:t>（</w:t>
      </w:r>
      <w:r>
        <w:rPr>
          <w:rFonts w:hint="eastAsia" w:ascii="黑体" w:hAnsi="黑体" w:eastAsia="黑体" w:cs="黑体"/>
          <w:b/>
          <w:highlight w:val="none"/>
          <w:lang w:val="en-US" w:eastAsia="zh-CN"/>
        </w:rPr>
        <w:t>十六</w:t>
      </w:r>
      <w:r>
        <w:rPr>
          <w:rFonts w:hint="eastAsia" w:ascii="黑体" w:hAnsi="黑体" w:eastAsia="黑体" w:cs="黑体"/>
          <w:b/>
          <w:highlight w:val="none"/>
          <w:lang w:eastAsia="zh-CN"/>
        </w:rPr>
        <w:t>）</w:t>
      </w:r>
      <w:r>
        <w:rPr>
          <w:rFonts w:hint="eastAsia" w:ascii="黑体" w:hAnsi="黑体" w:eastAsia="黑体" w:cs="黑体"/>
          <w:b/>
          <w:highlight w:val="none"/>
        </w:rPr>
        <w:t>本产品特有风险说明</w:t>
      </w:r>
    </w:p>
    <w:p>
      <w:pPr>
        <w:pStyle w:val="183"/>
        <w:keepNext w:val="0"/>
        <w:keepLines w:val="0"/>
        <w:pageBreakBefore w:val="0"/>
        <w:widowControl w:val="0"/>
        <w:numPr>
          <w:ilvl w:val="0"/>
          <w:numId w:val="0"/>
        </w:numPr>
        <w:kinsoku/>
        <w:wordWrap/>
        <w:overflowPunct/>
        <w:topLinePunct w:val="0"/>
        <w:bidi w:val="0"/>
        <w:adjustRightInd/>
        <w:snapToGrid/>
        <w:spacing w:line="276" w:lineRule="auto"/>
        <w:ind w:firstLine="482" w:firstLineChars="200"/>
        <w:contextualSpacing/>
        <w:jc w:val="both"/>
        <w:textAlignment w:val="auto"/>
        <w:rPr>
          <w:rFonts w:hint="eastAsia" w:ascii="黑体" w:hAnsi="黑体" w:eastAsia="黑体" w:cs="黑体"/>
          <w:b/>
          <w:sz w:val="24"/>
          <w:szCs w:val="24"/>
          <w:highlight w:val="none"/>
          <w:lang w:val="en-US" w:eastAsia="zh-CN" w:bidi="ar-SA"/>
        </w:rPr>
      </w:pPr>
      <w:r>
        <w:rPr>
          <w:rFonts w:hint="eastAsia" w:ascii="黑体" w:hAnsi="黑体" w:eastAsia="黑体" w:cs="黑体"/>
          <w:b/>
          <w:color w:val="auto"/>
          <w:highlight w:val="none"/>
        </w:rPr>
        <w:t xml:space="preserve">本产品由于投资于货币市场工具、标准化债权类资产等固定收益类资产，因此可能面临如下特定风险：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 xml:space="preserve">1.投资于债券的可能风险：（1）国家政策、经济周期、利率、汇率等因素可能发生的变化导致的市场风险。（2）债券发行人、担保人的经营状况、信用质量降低等可能发生的变化导致的信用风险。（3）债券发行人、担保人信用等级降低导致债券价格下降，可能影响投资者收益，甚至使产品本金遭受损失。（4）非公开定向债务融资工具的流通和转让限制导致的流动性风险。（5）债券市场出现整体下跌，导致债券市场的系统性风险等。（6）可转/交换债券投资风险（如有）：A、可转/交换债券收益与对应标的股票股价直接挂钩，债券价格可能受之影响；B、转股期内，对应标的股票价格可能低于转股价格，若选择转股，产品将承受标的股票价格低于转股价格之间的价差；C、转股价格向下修正条款触发时，存在发行方不同意修正转股价格的风险；D、赎回条款可能导致债券提前兑付或转股期缩短而影响投资收益的风险；E、存在因政策限制导致无法转股的风险，可转/交换债券投资受到包括但不限于上述因素影响时，可能影响投资者收益，甚至使产品本金遭受损失。（7）永续债投资风险（如有）：永续债发行人可能延期支付利息，且永续债无到期日，可能因流动性差无法变现、无法收回本金，使产品出现流动性风险；永续债附加的回售或赎回权，可能会导致管理人以不利价格出售永续债，从而影响投资者收益。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 xml:space="preserve">2.投资于资产支持证券的可能风险：（1）资产支持证券的投资收益取决于项下基础资产情况，如该基础资产发生原始权益人偿债能力变化、破产或基础资产项下现金流未能及时完整获得等情况，资产支持证券的收益将受到影响；（2）资产支持证券的流动性较低，可能影响投资者收益，甚至使产品本金遭受损失。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 xml:space="preserve">3.投资于存款类资产的可能风险：本产品拟投资的存款类资产在极端情况下可能面临被拒绝支取、因提前支取而被收取罚息等费用的风险，从而影响投资者收益，甚至使本产品本金遭受损失。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 xml:space="preserve">4.投资于结构性存款的可能风险：（1）市场风险。结构性存款挂钩的境内外债券、股票、利率、汇率、指数等标的受相关国家或地区的金融市场和经济趋势的影响，收益存在不确定性。（2）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3）利率风险。结构性存款如挂钩特定债券或债券指数，可能因相关利率变动而导致产品收益发生变化。（4）汇率风险。结构性存款如挂钩境外证券资产，可能面临以非人民币计价的各类资产受汇率波动影响而引起人民币估值下的理财产品资产净值波动的风险。（5）衍生品投资风险。结构性存款所嵌入的金融衍生工具，可能存在杠杆风险、操作风险、交易对手的信用风险、衍生品价格与其基础品种的相关度变化带来的风险等。以上风险事项若发现，可能可能影响投资者收益，甚至使产品本金遭受损失。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5.投资于公募基金、信托计划、资产管理计划等资产管理产品的可能风险：由于管理人（包括本理财产品、所投资的公募基金、信托计划、资产管理计划等资产管理产品的受托人、资产管理人、相关投资顾问）受经验、技能等因素的限制，可能对经济形势和金融市场价格走势判断有误、获取信息不全、或对投资工具使用不当等，导致产品收益甚至本金遭受损失；如资产管理产品的受托人、资产管理人或相关投资顾问等及其内部流程、人员管理及系统操作不当或失误，或违背相关合同约定、未严格执行风险控制措施、处理事务不当等，导致产品收益甚至本金遭受损失。</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九、信息披露</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s="宋体"/>
          <w:sz w:val="24"/>
          <w:highlight w:val="none"/>
        </w:rPr>
      </w:pPr>
      <w:r>
        <w:rPr>
          <w:rFonts w:ascii="仿宋" w:hAnsi="仿宋" w:eastAsia="仿宋" w:cs="宋体"/>
          <w:sz w:val="24"/>
          <w:highlight w:val="none"/>
        </w:rPr>
        <w:t>（</w:t>
      </w:r>
      <w:r>
        <w:rPr>
          <w:rFonts w:hint="eastAsia" w:ascii="仿宋" w:hAnsi="仿宋" w:eastAsia="仿宋" w:cs="宋体"/>
          <w:sz w:val="24"/>
          <w:highlight w:val="none"/>
        </w:rPr>
        <w:t>一</w:t>
      </w:r>
      <w:r>
        <w:rPr>
          <w:rFonts w:ascii="仿宋" w:hAnsi="仿宋" w:eastAsia="仿宋" w:cs="宋体"/>
          <w:sz w:val="24"/>
          <w:highlight w:val="none"/>
        </w:rPr>
        <w:t>）理财产品运作信息披露</w:t>
      </w:r>
    </w:p>
    <w:p>
      <w:pPr>
        <w:pStyle w:val="1"/>
        <w:keepNext w:val="0"/>
        <w:keepLines w:val="0"/>
        <w:pageBreakBefore w:val="0"/>
        <w:widowControl w:val="0"/>
        <w:kinsoku/>
        <w:wordWrap/>
        <w:overflowPunct/>
        <w:topLinePunct w:val="0"/>
        <w:bidi w:val="0"/>
        <w:adjustRightInd/>
        <w:snapToGrid/>
        <w:spacing w:line="276" w:lineRule="auto"/>
        <w:ind w:firstLine="482" w:firstLineChars="200"/>
        <w:contextualSpacing/>
        <w:jc w:val="both"/>
        <w:textAlignment w:val="auto"/>
        <w:rPr>
          <w:rFonts w:ascii="仿宋" w:hAnsi="仿宋" w:eastAsia="仿宋" w:cs="宋体"/>
          <w:b/>
          <w:sz w:val="24"/>
          <w:highlight w:val="none"/>
        </w:rPr>
      </w:pPr>
      <w:r>
        <w:rPr>
          <w:rFonts w:hint="eastAsia" w:ascii="仿宋" w:hAnsi="仿宋" w:eastAsia="仿宋" w:cs="宋体"/>
          <w:b/>
          <w:sz w:val="24"/>
          <w:highlight w:val="none"/>
        </w:rPr>
        <w:t>1.</w:t>
      </w:r>
      <w:r>
        <w:rPr>
          <w:rFonts w:ascii="仿宋" w:hAnsi="仿宋" w:eastAsia="仿宋" w:cs="宋体"/>
          <w:b/>
          <w:sz w:val="24"/>
          <w:highlight w:val="none"/>
        </w:rPr>
        <w:t>华夏</w:t>
      </w:r>
      <w:r>
        <w:rPr>
          <w:rFonts w:hint="eastAsia" w:ascii="仿宋" w:hAnsi="仿宋" w:eastAsia="仿宋" w:cs="宋体"/>
          <w:b/>
          <w:sz w:val="24"/>
          <w:highlight w:val="none"/>
        </w:rPr>
        <w:t>理财</w:t>
      </w:r>
      <w:r>
        <w:rPr>
          <w:rFonts w:ascii="仿宋" w:hAnsi="仿宋" w:eastAsia="仿宋" w:cs="宋体"/>
          <w:b/>
          <w:sz w:val="24"/>
          <w:highlight w:val="none"/>
        </w:rPr>
        <w:t>将按照法律法规及监管</w:t>
      </w:r>
      <w:r>
        <w:rPr>
          <w:rFonts w:hint="eastAsia" w:ascii="仿宋" w:hAnsi="仿宋" w:eastAsia="仿宋" w:cs="宋体"/>
          <w:b/>
          <w:sz w:val="24"/>
          <w:highlight w:val="none"/>
        </w:rPr>
        <w:t>规定</w:t>
      </w:r>
      <w:r>
        <w:rPr>
          <w:rFonts w:ascii="仿宋" w:hAnsi="仿宋" w:eastAsia="仿宋" w:cs="宋体"/>
          <w:b/>
          <w:sz w:val="24"/>
          <w:highlight w:val="none"/>
        </w:rPr>
        <w:t>的要求</w:t>
      </w:r>
      <w:r>
        <w:rPr>
          <w:rFonts w:hint="eastAsia" w:ascii="仿宋" w:hAnsi="仿宋" w:eastAsia="仿宋" w:cs="宋体"/>
          <w:b/>
          <w:sz w:val="24"/>
          <w:highlight w:val="none"/>
        </w:rPr>
        <w:t>披露本理财产品信息，披露事项包括理财产品成立、不成立、净值、收益分配、到期、提前终止、延期、调整等内容。</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2.本理财产品已经在“全国银行业理财信息登记系统”登记，投资者可依据“登记编码”在“中国理财网”查询本理财产品信息。</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3.</w:t>
      </w:r>
      <w:r>
        <w:rPr>
          <w:rFonts w:ascii="仿宋" w:hAnsi="仿宋" w:eastAsia="仿宋" w:cs="宋体"/>
          <w:sz w:val="24"/>
          <w:highlight w:val="none"/>
        </w:rPr>
        <w:t>在</w:t>
      </w:r>
      <w:r>
        <w:rPr>
          <w:rFonts w:hint="eastAsia" w:ascii="仿宋" w:hAnsi="仿宋" w:eastAsia="仿宋" w:cs="宋体"/>
          <w:sz w:val="24"/>
          <w:highlight w:val="none"/>
        </w:rPr>
        <w:t>理财</w:t>
      </w:r>
      <w:r>
        <w:rPr>
          <w:rFonts w:ascii="仿宋" w:hAnsi="仿宋" w:eastAsia="仿宋" w:cs="宋体"/>
          <w:sz w:val="24"/>
          <w:highlight w:val="none"/>
        </w:rPr>
        <w:t>产品不成立时，华夏</w:t>
      </w:r>
      <w:r>
        <w:rPr>
          <w:rFonts w:hint="eastAsia" w:ascii="仿宋" w:hAnsi="仿宋" w:eastAsia="仿宋" w:cs="宋体"/>
          <w:sz w:val="24"/>
          <w:highlight w:val="none"/>
        </w:rPr>
        <w:t>理财</w:t>
      </w:r>
      <w:r>
        <w:rPr>
          <w:rFonts w:ascii="仿宋" w:hAnsi="仿宋" w:eastAsia="仿宋" w:cs="宋体"/>
          <w:sz w:val="24"/>
          <w:highlight w:val="none"/>
        </w:rPr>
        <w:t>将在原定成立日后2个工作日内发布产品不成立</w:t>
      </w:r>
      <w:r>
        <w:rPr>
          <w:rFonts w:hint="eastAsia" w:ascii="仿宋" w:hAnsi="仿宋" w:eastAsia="仿宋" w:cs="宋体"/>
          <w:sz w:val="24"/>
          <w:highlight w:val="none"/>
        </w:rPr>
        <w:t>公告</w:t>
      </w:r>
      <w:r>
        <w:rPr>
          <w:rFonts w:ascii="仿宋" w:hAnsi="仿宋" w:eastAsia="仿宋" w:cs="宋体"/>
          <w:sz w:val="24"/>
          <w:highlight w:val="none"/>
        </w:rPr>
        <w:t>。</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4.</w:t>
      </w:r>
      <w:r>
        <w:rPr>
          <w:rFonts w:ascii="仿宋" w:hAnsi="仿宋" w:eastAsia="仿宋" w:cs="宋体"/>
          <w:sz w:val="24"/>
          <w:highlight w:val="none"/>
        </w:rPr>
        <w:t>本理财产品成立后</w:t>
      </w:r>
      <w:r>
        <w:rPr>
          <w:rFonts w:hint="eastAsia" w:ascii="仿宋" w:hAnsi="仿宋" w:eastAsia="仿宋" w:cs="宋体"/>
          <w:sz w:val="24"/>
          <w:highlight w:val="none"/>
        </w:rPr>
        <w:t>5</w:t>
      </w:r>
      <w:r>
        <w:rPr>
          <w:rFonts w:ascii="仿宋" w:hAnsi="仿宋" w:eastAsia="仿宋" w:cs="宋体"/>
          <w:sz w:val="24"/>
          <w:highlight w:val="none"/>
        </w:rPr>
        <w:t>个工作日内，华夏</w:t>
      </w:r>
      <w:r>
        <w:rPr>
          <w:rFonts w:hint="eastAsia" w:ascii="仿宋" w:hAnsi="仿宋" w:eastAsia="仿宋" w:cs="宋体"/>
          <w:sz w:val="24"/>
          <w:highlight w:val="none"/>
        </w:rPr>
        <w:t>理财</w:t>
      </w:r>
      <w:r>
        <w:rPr>
          <w:rFonts w:ascii="仿宋" w:hAnsi="仿宋" w:eastAsia="仿宋" w:cs="宋体"/>
          <w:sz w:val="24"/>
          <w:highlight w:val="none"/>
        </w:rPr>
        <w:t>将发布产品</w:t>
      </w:r>
      <w:r>
        <w:rPr>
          <w:rFonts w:hint="eastAsia" w:ascii="仿宋" w:hAnsi="仿宋" w:eastAsia="仿宋" w:cs="宋体"/>
          <w:sz w:val="24"/>
          <w:highlight w:val="none"/>
        </w:rPr>
        <w:t>成立公</w:t>
      </w:r>
      <w:r>
        <w:rPr>
          <w:rFonts w:ascii="仿宋" w:hAnsi="仿宋" w:eastAsia="仿宋" w:cs="宋体"/>
          <w:sz w:val="24"/>
          <w:highlight w:val="none"/>
        </w:rPr>
        <w:t>告。</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5</w:t>
      </w:r>
      <w:r>
        <w:rPr>
          <w:rFonts w:hint="eastAsia" w:ascii="仿宋" w:hAnsi="仿宋" w:eastAsia="仿宋" w:cs="宋体"/>
          <w:sz w:val="24"/>
          <w:highlight w:val="none"/>
        </w:rPr>
        <w:t>.华夏理财在每个季度结束之日起15</w:t>
      </w:r>
      <w:r>
        <w:rPr>
          <w:rFonts w:hint="eastAsia" w:ascii="仿宋" w:hAnsi="仿宋" w:eastAsia="仿宋" w:cs="宋体"/>
          <w:color w:val="000000"/>
          <w:sz w:val="24"/>
          <w:highlight w:val="none"/>
        </w:rPr>
        <w:t>个工作</w:t>
      </w:r>
      <w:r>
        <w:rPr>
          <w:rFonts w:hint="eastAsia" w:ascii="仿宋" w:hAnsi="仿宋" w:eastAsia="仿宋" w:cs="宋体"/>
          <w:sz w:val="24"/>
          <w:highlight w:val="none"/>
        </w:rPr>
        <w:t>日内、上半年结束之日起60</w:t>
      </w:r>
      <w:r>
        <w:rPr>
          <w:rFonts w:hint="eastAsia" w:ascii="仿宋" w:hAnsi="仿宋" w:eastAsia="仿宋" w:cs="宋体"/>
          <w:color w:val="000000"/>
          <w:sz w:val="24"/>
          <w:highlight w:val="none"/>
        </w:rPr>
        <w:t>个工作</w:t>
      </w:r>
      <w:r>
        <w:rPr>
          <w:rFonts w:hint="eastAsia" w:ascii="仿宋" w:hAnsi="仿宋" w:eastAsia="仿宋" w:cs="宋体"/>
          <w:sz w:val="24"/>
          <w:highlight w:val="none"/>
        </w:rPr>
        <w:t>日内、每年结束之日起90</w:t>
      </w:r>
      <w:r>
        <w:rPr>
          <w:rFonts w:hint="eastAsia" w:ascii="仿宋" w:hAnsi="仿宋" w:eastAsia="仿宋" w:cs="宋体"/>
          <w:color w:val="000000"/>
          <w:sz w:val="24"/>
          <w:highlight w:val="none"/>
        </w:rPr>
        <w:t>个工作</w:t>
      </w:r>
      <w:r>
        <w:rPr>
          <w:rFonts w:hint="eastAsia" w:ascii="仿宋" w:hAnsi="仿宋" w:eastAsia="仿宋" w:cs="宋体"/>
          <w:sz w:val="24"/>
          <w:highlight w:val="none"/>
        </w:rPr>
        <w:t>日内，编制完成本理财产品的季度、半年和年度报告</w:t>
      </w:r>
      <w:r>
        <w:rPr>
          <w:rFonts w:hint="eastAsia" w:ascii="仿宋" w:hAnsi="仿宋" w:eastAsia="仿宋" w:cs="宋体"/>
          <w:color w:val="000000"/>
          <w:sz w:val="24"/>
          <w:highlight w:val="none"/>
        </w:rPr>
        <w:t>，成立不足90个工作日</w:t>
      </w:r>
      <w:r>
        <w:rPr>
          <w:rFonts w:ascii="仿宋" w:hAnsi="仿宋" w:eastAsia="仿宋" w:cs="宋体"/>
          <w:color w:val="000000"/>
          <w:sz w:val="24"/>
          <w:highlight w:val="none"/>
        </w:rPr>
        <w:t>或者剩余存续期不超过</w:t>
      </w:r>
      <w:r>
        <w:rPr>
          <w:rFonts w:hint="eastAsia" w:ascii="仿宋" w:hAnsi="仿宋" w:eastAsia="仿宋" w:cs="宋体"/>
          <w:color w:val="000000"/>
          <w:sz w:val="24"/>
          <w:highlight w:val="none"/>
        </w:rPr>
        <w:t>90个工作日</w:t>
      </w:r>
      <w:r>
        <w:rPr>
          <w:rFonts w:ascii="仿宋" w:hAnsi="仿宋" w:eastAsia="仿宋" w:cs="宋体"/>
          <w:color w:val="000000"/>
          <w:sz w:val="24"/>
          <w:highlight w:val="none"/>
        </w:rPr>
        <w:t>的，可不编写当期季报、半</w:t>
      </w:r>
      <w:r>
        <w:rPr>
          <w:rFonts w:hint="eastAsia" w:ascii="仿宋" w:hAnsi="仿宋" w:eastAsia="仿宋" w:cs="宋体"/>
          <w:color w:val="000000"/>
          <w:sz w:val="24"/>
          <w:highlight w:val="none"/>
        </w:rPr>
        <w:t>年</w:t>
      </w:r>
      <w:r>
        <w:rPr>
          <w:rFonts w:ascii="仿宋" w:hAnsi="仿宋" w:eastAsia="仿宋" w:cs="宋体"/>
          <w:color w:val="000000"/>
          <w:sz w:val="24"/>
          <w:highlight w:val="none"/>
        </w:rPr>
        <w:t>和年度报告</w:t>
      </w:r>
      <w:r>
        <w:rPr>
          <w:rFonts w:hint="eastAsia" w:ascii="仿宋" w:hAnsi="仿宋" w:eastAsia="仿宋" w:cs="宋体"/>
          <w:sz w:val="24"/>
          <w:highlight w:val="none"/>
        </w:rPr>
        <w:t>。</w:t>
      </w:r>
      <w:r>
        <w:rPr>
          <w:rFonts w:hint="eastAsia" w:ascii="仿宋" w:hAnsi="仿宋" w:eastAsia="仿宋" w:cs="宋体"/>
          <w:color w:val="000000"/>
          <w:sz w:val="24"/>
          <w:highlight w:val="none"/>
        </w:rPr>
        <w:t>在理财产品季度、半年和年度报告中披露理财产品组合资产情况及其流动性风险分析。</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6</w:t>
      </w:r>
      <w:r>
        <w:rPr>
          <w:rFonts w:hint="eastAsia" w:ascii="仿宋" w:hAnsi="仿宋" w:eastAsia="仿宋" w:cs="宋体"/>
          <w:sz w:val="24"/>
          <w:highlight w:val="none"/>
        </w:rPr>
        <w:t>.</w:t>
      </w:r>
      <w:r>
        <w:rPr>
          <w:rFonts w:ascii="仿宋" w:hAnsi="仿宋" w:eastAsia="仿宋" w:cs="宋体"/>
          <w:sz w:val="24"/>
          <w:highlight w:val="none"/>
        </w:rPr>
        <w:t>如</w:t>
      </w:r>
      <w:r>
        <w:rPr>
          <w:rFonts w:hint="eastAsia" w:ascii="仿宋" w:hAnsi="仿宋" w:eastAsia="仿宋" w:cs="宋体"/>
          <w:sz w:val="24"/>
          <w:highlight w:val="none"/>
        </w:rPr>
        <w:t>华夏理财</w:t>
      </w:r>
      <w:r>
        <w:rPr>
          <w:rFonts w:ascii="仿宋" w:hAnsi="仿宋" w:eastAsia="仿宋" w:cs="宋体"/>
          <w:sz w:val="24"/>
          <w:highlight w:val="none"/>
        </w:rPr>
        <w:t>决定</w:t>
      </w:r>
      <w:r>
        <w:rPr>
          <w:rFonts w:hint="eastAsia" w:ascii="仿宋" w:hAnsi="仿宋" w:eastAsia="仿宋" w:cs="宋体"/>
          <w:sz w:val="24"/>
          <w:highlight w:val="none"/>
        </w:rPr>
        <w:t>提前</w:t>
      </w:r>
      <w:r>
        <w:rPr>
          <w:rFonts w:ascii="仿宋" w:hAnsi="仿宋" w:eastAsia="仿宋" w:cs="宋体"/>
          <w:sz w:val="24"/>
          <w:highlight w:val="none"/>
        </w:rPr>
        <w:t>终止本理财产品，将于</w:t>
      </w:r>
      <w:r>
        <w:rPr>
          <w:rFonts w:hint="eastAsia" w:ascii="仿宋" w:hAnsi="仿宋" w:eastAsia="仿宋" w:cs="宋体"/>
          <w:sz w:val="24"/>
          <w:highlight w:val="none"/>
        </w:rPr>
        <w:t>提前</w:t>
      </w:r>
      <w:r>
        <w:rPr>
          <w:rFonts w:ascii="仿宋" w:hAnsi="仿宋" w:eastAsia="仿宋" w:cs="宋体"/>
          <w:sz w:val="24"/>
          <w:highlight w:val="none"/>
        </w:rPr>
        <w:t>终止日的前3个工作日</w:t>
      </w:r>
      <w:r>
        <w:rPr>
          <w:rFonts w:hint="eastAsia" w:ascii="仿宋" w:hAnsi="仿宋" w:eastAsia="仿宋" w:cs="宋体"/>
          <w:sz w:val="24"/>
          <w:highlight w:val="none"/>
        </w:rPr>
        <w:t>通过本产品说明书约定的信息披露渠道发布公告</w:t>
      </w:r>
      <w:r>
        <w:rPr>
          <w:rFonts w:ascii="仿宋" w:hAnsi="仿宋" w:eastAsia="仿宋" w:cs="宋体"/>
          <w:sz w:val="24"/>
          <w:highlight w:val="none"/>
        </w:rPr>
        <w:t>。</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7</w:t>
      </w:r>
      <w:r>
        <w:rPr>
          <w:rFonts w:hint="eastAsia" w:ascii="仿宋" w:hAnsi="仿宋" w:eastAsia="仿宋" w:cs="宋体"/>
          <w:sz w:val="24"/>
          <w:highlight w:val="none"/>
        </w:rPr>
        <w:t>.</w:t>
      </w:r>
      <w:r>
        <w:rPr>
          <w:rFonts w:ascii="仿宋" w:hAnsi="仿宋" w:eastAsia="仿宋" w:cs="宋体"/>
          <w:sz w:val="24"/>
          <w:highlight w:val="none"/>
        </w:rPr>
        <w:t>产品</w:t>
      </w:r>
      <w:r>
        <w:rPr>
          <w:rFonts w:hint="eastAsia" w:ascii="仿宋" w:hAnsi="仿宋" w:eastAsia="仿宋" w:cs="宋体"/>
          <w:sz w:val="24"/>
          <w:highlight w:val="none"/>
        </w:rPr>
        <w:t>到期/</w:t>
      </w:r>
      <w:r>
        <w:rPr>
          <w:rFonts w:ascii="仿宋" w:hAnsi="仿宋" w:eastAsia="仿宋" w:cs="宋体"/>
          <w:sz w:val="24"/>
          <w:highlight w:val="none"/>
        </w:rPr>
        <w:t>终止后</w:t>
      </w:r>
      <w:r>
        <w:rPr>
          <w:rFonts w:hint="eastAsia" w:ascii="仿宋" w:hAnsi="仿宋" w:eastAsia="仿宋" w:cs="宋体"/>
          <w:sz w:val="24"/>
          <w:highlight w:val="none"/>
        </w:rPr>
        <w:t>5</w:t>
      </w:r>
      <w:r>
        <w:rPr>
          <w:rFonts w:ascii="仿宋" w:hAnsi="仿宋" w:eastAsia="仿宋" w:cs="宋体"/>
          <w:sz w:val="24"/>
          <w:highlight w:val="none"/>
        </w:rPr>
        <w:t>个工作日内，华夏</w:t>
      </w:r>
      <w:r>
        <w:rPr>
          <w:rFonts w:hint="eastAsia" w:ascii="仿宋" w:hAnsi="仿宋" w:eastAsia="仿宋" w:cs="宋体"/>
          <w:sz w:val="24"/>
          <w:highlight w:val="none"/>
        </w:rPr>
        <w:t>理财</w:t>
      </w:r>
      <w:r>
        <w:rPr>
          <w:rFonts w:ascii="仿宋" w:hAnsi="仿宋" w:eastAsia="仿宋" w:cs="宋体"/>
          <w:sz w:val="24"/>
          <w:highlight w:val="none"/>
        </w:rPr>
        <w:t>将发布产品到期</w:t>
      </w:r>
      <w:r>
        <w:rPr>
          <w:rFonts w:hint="eastAsia" w:ascii="仿宋" w:hAnsi="仿宋" w:eastAsia="仿宋" w:cs="宋体"/>
          <w:sz w:val="24"/>
          <w:highlight w:val="none"/>
        </w:rPr>
        <w:t>/</w:t>
      </w:r>
      <w:r>
        <w:rPr>
          <w:rFonts w:ascii="仿宋" w:hAnsi="仿宋" w:eastAsia="仿宋" w:cs="宋体"/>
          <w:sz w:val="24"/>
          <w:highlight w:val="none"/>
        </w:rPr>
        <w:t>终止报告。</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8</w:t>
      </w:r>
      <w:r>
        <w:rPr>
          <w:rFonts w:hint="eastAsia" w:ascii="仿宋" w:hAnsi="仿宋" w:eastAsia="仿宋" w:cs="宋体"/>
          <w:sz w:val="24"/>
          <w:highlight w:val="none"/>
        </w:rPr>
        <w:t>.本理财产品</w:t>
      </w:r>
      <w:r>
        <w:rPr>
          <w:rFonts w:ascii="仿宋" w:hAnsi="仿宋" w:eastAsia="仿宋" w:cs="宋体"/>
          <w:sz w:val="24"/>
          <w:highlight w:val="none"/>
        </w:rPr>
        <w:t>将</w:t>
      </w:r>
      <w:r>
        <w:rPr>
          <w:rFonts w:hint="eastAsia" w:ascii="仿宋" w:hAnsi="仿宋" w:eastAsia="仿宋" w:cs="宋体"/>
          <w:sz w:val="24"/>
          <w:highlight w:val="none"/>
        </w:rPr>
        <w:t>按</w:t>
      </w:r>
      <w:r>
        <w:rPr>
          <w:rFonts w:ascii="仿宋" w:hAnsi="仿宋" w:eastAsia="仿宋" w:cs="宋体"/>
          <w:sz w:val="24"/>
          <w:highlight w:val="none"/>
        </w:rPr>
        <w:t>“</w:t>
      </w:r>
      <w:r>
        <w:rPr>
          <w:rFonts w:hint="eastAsia" w:ascii="仿宋" w:hAnsi="仿宋" w:eastAsia="仿宋" w:cs="宋体"/>
          <w:sz w:val="24"/>
          <w:highlight w:val="none"/>
        </w:rPr>
        <w:t>一</w:t>
      </w:r>
      <w:r>
        <w:rPr>
          <w:rFonts w:ascii="仿宋" w:hAnsi="仿宋" w:eastAsia="仿宋" w:cs="宋体"/>
          <w:sz w:val="24"/>
          <w:highlight w:val="none"/>
        </w:rPr>
        <w:t>、产品概述”</w:t>
      </w:r>
      <w:r>
        <w:rPr>
          <w:rFonts w:hint="eastAsia" w:ascii="仿宋" w:hAnsi="仿宋" w:eastAsia="仿宋" w:cs="宋体"/>
          <w:sz w:val="24"/>
          <w:highlight w:val="none"/>
        </w:rPr>
        <w:t>“</w:t>
      </w:r>
      <w:r>
        <w:rPr>
          <w:rFonts w:hint="eastAsia" w:ascii="仿宋" w:hAnsi="仿宋" w:eastAsia="仿宋" w:cs="宋体"/>
          <w:sz w:val="24"/>
          <w:highlight w:val="none"/>
          <w:lang w:val="en-US" w:eastAsia="zh-CN"/>
        </w:rPr>
        <w:t>产品</w:t>
      </w:r>
      <w:r>
        <w:rPr>
          <w:rFonts w:hint="eastAsia" w:ascii="仿宋" w:hAnsi="仿宋" w:eastAsia="仿宋" w:cs="宋体"/>
          <w:sz w:val="24"/>
          <w:highlight w:val="none"/>
        </w:rPr>
        <w:t>净值公告”约定</w:t>
      </w:r>
      <w:r>
        <w:rPr>
          <w:rFonts w:ascii="仿宋" w:hAnsi="仿宋" w:eastAsia="仿宋" w:cs="宋体"/>
          <w:sz w:val="24"/>
          <w:highlight w:val="none"/>
        </w:rPr>
        <w:t>披露产品净值。</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s="宋体"/>
          <w:sz w:val="24"/>
          <w:highlight w:val="none"/>
        </w:rPr>
      </w:pPr>
      <w:r>
        <w:rPr>
          <w:rFonts w:ascii="仿宋" w:hAnsi="仿宋" w:eastAsia="仿宋" w:cs="宋体"/>
          <w:sz w:val="24"/>
          <w:highlight w:val="none"/>
        </w:rPr>
        <w:t>（二）理财产品临时</w:t>
      </w:r>
      <w:r>
        <w:rPr>
          <w:rFonts w:hint="eastAsia" w:ascii="仿宋" w:hAnsi="仿宋" w:eastAsia="仿宋" w:cs="宋体"/>
          <w:sz w:val="24"/>
          <w:highlight w:val="none"/>
        </w:rPr>
        <w:t>性</w:t>
      </w:r>
      <w:r>
        <w:rPr>
          <w:rFonts w:ascii="仿宋" w:hAnsi="仿宋" w:eastAsia="仿宋" w:cs="宋体"/>
          <w:sz w:val="24"/>
          <w:highlight w:val="none"/>
        </w:rPr>
        <w:t>信息披露</w:t>
      </w:r>
      <w:r>
        <w:rPr>
          <w:rFonts w:hint="eastAsia" w:ascii="仿宋" w:hAnsi="仿宋" w:eastAsia="仿宋" w:cs="宋体"/>
          <w:sz w:val="24"/>
          <w:highlight w:val="none"/>
        </w:rPr>
        <w:t>及</w:t>
      </w:r>
      <w:r>
        <w:rPr>
          <w:rFonts w:ascii="仿宋" w:hAnsi="仿宋" w:eastAsia="仿宋" w:cs="宋体"/>
          <w:sz w:val="24"/>
          <w:highlight w:val="none"/>
        </w:rPr>
        <w:t>重大</w:t>
      </w:r>
      <w:r>
        <w:rPr>
          <w:rFonts w:hint="eastAsia" w:ascii="仿宋" w:hAnsi="仿宋" w:eastAsia="仿宋" w:cs="宋体"/>
          <w:sz w:val="24"/>
          <w:highlight w:val="none"/>
        </w:rPr>
        <w:t>事项</w:t>
      </w:r>
      <w:r>
        <w:rPr>
          <w:rFonts w:ascii="仿宋" w:hAnsi="仿宋" w:eastAsia="仿宋" w:cs="宋体"/>
          <w:sz w:val="24"/>
          <w:highlight w:val="none"/>
        </w:rPr>
        <w:t>公告</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1</w:t>
      </w:r>
      <w:r>
        <w:rPr>
          <w:rFonts w:hint="eastAsia" w:ascii="仿宋" w:hAnsi="仿宋" w:eastAsia="仿宋" w:cs="宋体"/>
          <w:sz w:val="24"/>
          <w:highlight w:val="none"/>
          <w:lang w:val="en-US" w:eastAsia="zh-CN"/>
        </w:rPr>
        <w:t>.</w:t>
      </w:r>
      <w:r>
        <w:rPr>
          <w:rFonts w:hint="eastAsia" w:ascii="仿宋" w:hAnsi="仿宋" w:eastAsia="仿宋" w:cs="宋体"/>
          <w:sz w:val="24"/>
          <w:highlight w:val="none"/>
        </w:rPr>
        <w:t>根据监管规定及业务需要，管理人可进行临时信息披露，涉及事项包括但不限于：管理人、</w:t>
      </w:r>
      <w:r>
        <w:rPr>
          <w:rFonts w:hint="eastAsia" w:ascii="仿宋" w:hAnsi="仿宋" w:eastAsia="仿宋" w:cs="宋体"/>
          <w:sz w:val="24"/>
          <w:highlight w:val="none"/>
          <w:lang w:eastAsia="zh-CN"/>
        </w:rPr>
        <w:t>托管机构、</w:t>
      </w:r>
      <w:r>
        <w:rPr>
          <w:rFonts w:hint="eastAsia" w:ascii="仿宋" w:hAnsi="仿宋" w:eastAsia="仿宋" w:cs="宋体"/>
          <w:sz w:val="24"/>
          <w:highlight w:val="none"/>
          <w:lang w:val="en-US" w:eastAsia="zh-CN"/>
        </w:rPr>
        <w:t>销售机构</w:t>
      </w:r>
      <w:r>
        <w:rPr>
          <w:rFonts w:hint="eastAsia" w:ascii="仿宋" w:hAnsi="仿宋" w:eastAsia="仿宋" w:cs="宋体"/>
          <w:sz w:val="24"/>
          <w:highlight w:val="none"/>
        </w:rPr>
        <w:t>发生变更，理财产品投资非标准化债权类资产或信贷资产受（收）益权，</w:t>
      </w:r>
      <w:r>
        <w:rPr>
          <w:rFonts w:ascii="仿宋" w:hAnsi="仿宋" w:eastAsia="仿宋" w:cs="宋体"/>
          <w:sz w:val="24"/>
          <w:highlight w:val="none"/>
        </w:rPr>
        <w:t>调整</w:t>
      </w:r>
      <w:r>
        <w:rPr>
          <w:rFonts w:hint="eastAsia" w:ascii="仿宋" w:hAnsi="仿宋" w:eastAsia="仿宋" w:cs="宋体"/>
          <w:sz w:val="24"/>
          <w:highlight w:val="none"/>
        </w:rPr>
        <w:t>业绩比较基准</w:t>
      </w:r>
      <w:r>
        <w:rPr>
          <w:rFonts w:hint="eastAsia" w:ascii="仿宋" w:hAnsi="仿宋" w:eastAsia="仿宋" w:cs="宋体"/>
          <w:kern w:val="0"/>
          <w:sz w:val="24"/>
          <w:highlight w:val="none"/>
        </w:rPr>
        <w:t>，调整产品风险评级</w:t>
      </w:r>
      <w:r>
        <w:rPr>
          <w:rFonts w:hint="eastAsia" w:ascii="仿宋" w:hAnsi="仿宋" w:eastAsia="仿宋" w:cs="宋体"/>
          <w:sz w:val="24"/>
          <w:highlight w:val="none"/>
        </w:rPr>
        <w:t>以及</w:t>
      </w:r>
      <w:r>
        <w:rPr>
          <w:rFonts w:ascii="仿宋" w:hAnsi="仿宋" w:eastAsia="仿宋" w:cs="宋体"/>
          <w:sz w:val="24"/>
          <w:highlight w:val="none"/>
        </w:rPr>
        <w:t>其他需披露的事项</w:t>
      </w:r>
      <w:r>
        <w:rPr>
          <w:rFonts w:hint="eastAsia" w:ascii="仿宋" w:hAnsi="仿宋" w:eastAsia="仿宋" w:cs="宋体"/>
          <w:sz w:val="24"/>
          <w:highlight w:val="none"/>
        </w:rPr>
        <w:t>。</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2</w:t>
      </w:r>
      <w:r>
        <w:rPr>
          <w:rFonts w:hint="eastAsia" w:ascii="仿宋" w:hAnsi="仿宋" w:eastAsia="仿宋" w:cs="宋体"/>
          <w:sz w:val="24"/>
          <w:highlight w:val="none"/>
          <w:lang w:val="en-US" w:eastAsia="zh-CN"/>
        </w:rPr>
        <w:t>.</w:t>
      </w:r>
      <w:r>
        <w:rPr>
          <w:rFonts w:ascii="仿宋" w:hAnsi="仿宋" w:eastAsia="仿宋" w:cs="宋体"/>
          <w:sz w:val="24"/>
          <w:highlight w:val="none"/>
        </w:rPr>
        <w:t>本理财产品存续期间</w:t>
      </w:r>
      <w:r>
        <w:rPr>
          <w:rFonts w:hint="eastAsia" w:ascii="仿宋" w:hAnsi="仿宋" w:eastAsia="仿宋" w:cs="宋体"/>
          <w:sz w:val="24"/>
          <w:highlight w:val="none"/>
        </w:rPr>
        <w:t>，</w:t>
      </w:r>
      <w:r>
        <w:rPr>
          <w:rFonts w:ascii="仿宋" w:hAnsi="仿宋" w:eastAsia="仿宋" w:cs="宋体"/>
          <w:sz w:val="24"/>
          <w:highlight w:val="none"/>
        </w:rPr>
        <w:t>如发生</w:t>
      </w:r>
      <w:r>
        <w:rPr>
          <w:rFonts w:hint="eastAsia" w:ascii="仿宋" w:hAnsi="仿宋" w:eastAsia="仿宋" w:cs="宋体"/>
          <w:sz w:val="24"/>
          <w:highlight w:val="none"/>
        </w:rPr>
        <w:t>管理人</w:t>
      </w:r>
      <w:r>
        <w:rPr>
          <w:rFonts w:ascii="仿宋" w:hAnsi="仿宋" w:eastAsia="仿宋" w:cs="宋体"/>
          <w:sz w:val="24"/>
          <w:highlight w:val="none"/>
        </w:rPr>
        <w:t>认为可能影响产品正常运作的重大不利事项时，包括但不限于市场发生重大变化、投资的资产质量发生重大变化或者其它可能对投资者权益产生重大影响的突发事件时，</w:t>
      </w:r>
      <w:r>
        <w:rPr>
          <w:rFonts w:hint="eastAsia" w:ascii="仿宋" w:hAnsi="仿宋" w:eastAsia="仿宋" w:cs="宋体"/>
          <w:sz w:val="24"/>
          <w:highlight w:val="none"/>
        </w:rPr>
        <w:t>管理人将在事项发生后</w:t>
      </w:r>
      <w:r>
        <w:rPr>
          <w:rFonts w:ascii="仿宋" w:hAnsi="仿宋" w:eastAsia="仿宋" w:cs="宋体"/>
          <w:sz w:val="24"/>
          <w:highlight w:val="none"/>
        </w:rPr>
        <w:t>2</w:t>
      </w:r>
      <w:r>
        <w:rPr>
          <w:rFonts w:hint="eastAsia" w:ascii="仿宋" w:hAnsi="仿宋" w:eastAsia="仿宋" w:cs="宋体"/>
          <w:sz w:val="24"/>
          <w:highlight w:val="none"/>
        </w:rPr>
        <w:t>个</w:t>
      </w:r>
      <w:r>
        <w:rPr>
          <w:rFonts w:ascii="仿宋" w:hAnsi="仿宋" w:eastAsia="仿宋" w:cs="宋体"/>
          <w:sz w:val="24"/>
          <w:highlight w:val="none"/>
        </w:rPr>
        <w:t>工作</w:t>
      </w:r>
      <w:r>
        <w:rPr>
          <w:rFonts w:hint="eastAsia" w:ascii="仿宋" w:hAnsi="仿宋" w:eastAsia="仿宋" w:cs="宋体"/>
          <w:sz w:val="24"/>
          <w:highlight w:val="none"/>
        </w:rPr>
        <w:t>日内通过本产品说明书约定的信息披露渠道予以披露</w:t>
      </w:r>
      <w:r>
        <w:rPr>
          <w:rFonts w:ascii="仿宋" w:hAnsi="仿宋" w:eastAsia="仿宋" w:cs="宋体"/>
          <w:sz w:val="24"/>
          <w:highlight w:val="none"/>
        </w:rPr>
        <w:t>。</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3</w:t>
      </w:r>
      <w:r>
        <w:rPr>
          <w:rFonts w:hint="eastAsia" w:ascii="仿宋" w:hAnsi="仿宋" w:eastAsia="仿宋" w:cs="宋体"/>
          <w:sz w:val="24"/>
          <w:highlight w:val="none"/>
          <w:lang w:val="en-US" w:eastAsia="zh-CN"/>
        </w:rPr>
        <w:t>.</w:t>
      </w:r>
      <w:r>
        <w:rPr>
          <w:rFonts w:ascii="仿宋" w:hAnsi="仿宋" w:eastAsia="仿宋" w:cs="宋体"/>
          <w:sz w:val="24"/>
          <w:highlight w:val="none"/>
        </w:rPr>
        <w:t>管理人</w:t>
      </w:r>
      <w:r>
        <w:rPr>
          <w:rFonts w:hint="eastAsia" w:ascii="仿宋" w:hAnsi="仿宋" w:eastAsia="仿宋" w:cs="宋体"/>
          <w:sz w:val="24"/>
          <w:highlight w:val="none"/>
        </w:rPr>
        <w:t>有权调整管理费（含</w:t>
      </w:r>
      <w:r>
        <w:rPr>
          <w:rFonts w:ascii="仿宋" w:hAnsi="仿宋" w:eastAsia="仿宋" w:cs="宋体"/>
          <w:sz w:val="24"/>
          <w:highlight w:val="none"/>
        </w:rPr>
        <w:t>固定管理费、</w:t>
      </w:r>
      <w:r>
        <w:rPr>
          <w:rFonts w:hint="eastAsia" w:ascii="仿宋" w:hAnsi="仿宋" w:eastAsia="仿宋"/>
          <w:sz w:val="24"/>
          <w:highlight w:val="none"/>
        </w:rPr>
        <w:t>超额管理费</w:t>
      </w:r>
      <w:r>
        <w:rPr>
          <w:rFonts w:hint="eastAsia" w:ascii="仿宋" w:hAnsi="仿宋" w:eastAsia="仿宋" w:cs="宋体"/>
          <w:sz w:val="24"/>
          <w:highlight w:val="none"/>
        </w:rPr>
        <w:t>）</w:t>
      </w:r>
      <w:r>
        <w:rPr>
          <w:rFonts w:ascii="仿宋" w:hAnsi="仿宋" w:eastAsia="仿宋" w:cs="宋体"/>
          <w:sz w:val="24"/>
          <w:highlight w:val="none"/>
        </w:rPr>
        <w:t>、托管费、销售</w:t>
      </w:r>
      <w:r>
        <w:rPr>
          <w:rFonts w:hint="eastAsia" w:ascii="仿宋" w:hAnsi="仿宋" w:eastAsia="仿宋" w:cs="宋体"/>
          <w:sz w:val="24"/>
          <w:highlight w:val="none"/>
        </w:rPr>
        <w:t>手续</w:t>
      </w:r>
      <w:r>
        <w:rPr>
          <w:rFonts w:ascii="仿宋" w:hAnsi="仿宋" w:eastAsia="仿宋" w:cs="宋体"/>
          <w:sz w:val="24"/>
          <w:highlight w:val="none"/>
        </w:rPr>
        <w:t>费</w:t>
      </w:r>
      <w:r>
        <w:rPr>
          <w:rFonts w:hint="eastAsia" w:ascii="仿宋" w:hAnsi="仿宋" w:eastAsia="仿宋"/>
          <w:sz w:val="24"/>
          <w:highlight w:val="none"/>
        </w:rPr>
        <w:t>等费用</w:t>
      </w:r>
      <w:r>
        <w:rPr>
          <w:rFonts w:ascii="仿宋" w:hAnsi="仿宋" w:eastAsia="仿宋" w:cs="宋体"/>
          <w:sz w:val="24"/>
          <w:highlight w:val="none"/>
        </w:rPr>
        <w:t>的</w:t>
      </w:r>
      <w:r>
        <w:rPr>
          <w:rFonts w:hint="eastAsia" w:ascii="仿宋" w:hAnsi="仿宋" w:eastAsia="仿宋" w:cs="宋体"/>
          <w:sz w:val="24"/>
          <w:highlight w:val="none"/>
        </w:rPr>
        <w:t>收费项目、条件、标准和方式，并将于上述调整生效日的前3个工作日通过本产品说明书约定的信息披露渠道予以公告；其中，</w:t>
      </w:r>
      <w:r>
        <w:rPr>
          <w:rFonts w:hint="eastAsia" w:ascii="仿宋" w:hAnsi="仿宋" w:eastAsia="仿宋" w:cs="宋体"/>
          <w:b/>
          <w:bCs/>
          <w:sz w:val="24"/>
          <w:highlight w:val="none"/>
        </w:rPr>
        <w:t>对于华夏理财增加费用名目、提高收费标准等对投资者利益产生实质不利影响的情形，投资者如不接受，可按</w:t>
      </w:r>
      <w:r>
        <w:rPr>
          <w:rFonts w:ascii="仿宋" w:hAnsi="仿宋" w:eastAsia="仿宋" w:cs="宋体"/>
          <w:b/>
          <w:bCs/>
          <w:sz w:val="24"/>
          <w:highlight w:val="none"/>
        </w:rPr>
        <w:t>信息披露中确定的方式</w:t>
      </w:r>
      <w:r>
        <w:rPr>
          <w:rFonts w:hint="eastAsia" w:ascii="仿宋" w:hAnsi="仿宋" w:eastAsia="仿宋" w:cs="宋体"/>
          <w:b/>
          <w:bCs/>
          <w:sz w:val="24"/>
          <w:highlight w:val="none"/>
        </w:rPr>
        <w:t>和</w:t>
      </w:r>
      <w:r>
        <w:rPr>
          <w:rFonts w:ascii="仿宋" w:hAnsi="仿宋" w:eastAsia="仿宋" w:cs="宋体"/>
          <w:b/>
          <w:bCs/>
          <w:sz w:val="24"/>
          <w:highlight w:val="none"/>
        </w:rPr>
        <w:t>时限</w:t>
      </w:r>
      <w:r>
        <w:rPr>
          <w:rFonts w:hint="eastAsia" w:ascii="仿宋" w:hAnsi="仿宋" w:eastAsia="仿宋" w:cs="宋体"/>
          <w:b/>
          <w:bCs/>
          <w:sz w:val="24"/>
          <w:highlight w:val="none"/>
        </w:rPr>
        <w:t>提前赎回本理财产品。</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4</w:t>
      </w:r>
      <w:r>
        <w:rPr>
          <w:rFonts w:hint="eastAsia" w:ascii="仿宋" w:hAnsi="仿宋" w:eastAsia="仿宋" w:cs="宋体"/>
          <w:sz w:val="24"/>
          <w:highlight w:val="none"/>
          <w:lang w:val="en-US" w:eastAsia="zh-CN"/>
        </w:rPr>
        <w:t>.</w:t>
      </w:r>
      <w:r>
        <w:rPr>
          <w:rFonts w:ascii="仿宋" w:hAnsi="仿宋" w:eastAsia="仿宋" w:cs="宋体"/>
          <w:sz w:val="24"/>
          <w:highlight w:val="none"/>
        </w:rPr>
        <w:t>管理人</w:t>
      </w:r>
      <w:r>
        <w:rPr>
          <w:rFonts w:hint="eastAsia" w:ascii="仿宋" w:hAnsi="仿宋" w:eastAsia="仿宋" w:cs="宋体"/>
          <w:sz w:val="24"/>
          <w:highlight w:val="none"/>
        </w:rPr>
        <w:t>有权根据市场情况调整本理财产品</w:t>
      </w:r>
      <w:r>
        <w:rPr>
          <w:rFonts w:ascii="仿宋" w:hAnsi="仿宋" w:eastAsia="仿宋" w:cs="宋体"/>
          <w:sz w:val="24"/>
          <w:highlight w:val="none"/>
        </w:rPr>
        <w:t>的</w:t>
      </w:r>
      <w:r>
        <w:rPr>
          <w:rFonts w:hint="eastAsia" w:ascii="仿宋" w:hAnsi="仿宋" w:eastAsia="仿宋" w:cs="宋体"/>
          <w:sz w:val="24"/>
          <w:highlight w:val="none"/>
        </w:rPr>
        <w:t>投资范围、投资资产种类或投资比例，并通过本产品说明书约定的信息披露渠道予以公告。具体</w:t>
      </w:r>
      <w:r>
        <w:rPr>
          <w:rFonts w:ascii="仿宋" w:hAnsi="仿宋" w:eastAsia="仿宋" w:cs="宋体"/>
          <w:sz w:val="24"/>
          <w:highlight w:val="none"/>
        </w:rPr>
        <w:t>规则详见</w:t>
      </w:r>
      <w:r>
        <w:rPr>
          <w:rFonts w:hint="eastAsia" w:ascii="仿宋" w:hAnsi="仿宋" w:eastAsia="仿宋" w:cs="宋体"/>
          <w:sz w:val="24"/>
          <w:highlight w:val="none"/>
        </w:rPr>
        <w:t>“二</w:t>
      </w:r>
      <w:r>
        <w:rPr>
          <w:rFonts w:ascii="仿宋" w:hAnsi="仿宋" w:eastAsia="仿宋" w:cs="宋体"/>
          <w:sz w:val="24"/>
          <w:highlight w:val="none"/>
        </w:rPr>
        <w:t>、投资对象</w:t>
      </w:r>
      <w:r>
        <w:rPr>
          <w:rFonts w:hint="eastAsia" w:ascii="仿宋" w:hAnsi="仿宋" w:eastAsia="仿宋" w:cs="宋体"/>
          <w:sz w:val="24"/>
          <w:highlight w:val="none"/>
        </w:rPr>
        <w:t>”。</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仿宋"/>
          <w:b/>
          <w:sz w:val="24"/>
          <w:highlight w:val="none"/>
        </w:rPr>
      </w:pPr>
      <w:r>
        <w:rPr>
          <w:rFonts w:ascii="仿宋" w:hAnsi="仿宋" w:eastAsia="仿宋" w:cs="宋体"/>
          <w:sz w:val="24"/>
          <w:highlight w:val="none"/>
        </w:rPr>
        <w:t>5</w:t>
      </w:r>
      <w:r>
        <w:rPr>
          <w:rFonts w:hint="eastAsia" w:ascii="仿宋" w:hAnsi="仿宋" w:eastAsia="仿宋" w:cs="宋体"/>
          <w:sz w:val="24"/>
          <w:highlight w:val="none"/>
          <w:lang w:val="en-US" w:eastAsia="zh-CN"/>
        </w:rPr>
        <w:t>.</w:t>
      </w:r>
      <w:r>
        <w:rPr>
          <w:rFonts w:hint="eastAsia" w:ascii="仿宋" w:hAnsi="仿宋" w:eastAsia="仿宋" w:cs="仿宋"/>
          <w:sz w:val="24"/>
          <w:highlight w:val="none"/>
        </w:rPr>
        <w:t>在发生涉及理财产品认购事项调整时，</w:t>
      </w:r>
      <w:r>
        <w:rPr>
          <w:rFonts w:ascii="仿宋" w:hAnsi="仿宋" w:eastAsia="仿宋" w:cs="宋体"/>
          <w:sz w:val="24"/>
          <w:highlight w:val="none"/>
        </w:rPr>
        <w:t>管理人</w:t>
      </w:r>
      <w:r>
        <w:rPr>
          <w:rFonts w:hint="eastAsia" w:ascii="仿宋" w:hAnsi="仿宋" w:eastAsia="仿宋" w:cs="仿宋"/>
          <w:sz w:val="24"/>
          <w:highlight w:val="none"/>
        </w:rPr>
        <w:t>将通过</w:t>
      </w:r>
      <w:r>
        <w:rPr>
          <w:rFonts w:hint="eastAsia" w:ascii="仿宋" w:hAnsi="仿宋" w:eastAsia="仿宋" w:cs="宋体"/>
          <w:sz w:val="24"/>
          <w:highlight w:val="none"/>
        </w:rPr>
        <w:t>本产品说明书约定的信息披露渠道</w:t>
      </w:r>
      <w:r>
        <w:rPr>
          <w:rFonts w:hint="eastAsia" w:ascii="仿宋" w:hAnsi="仿宋" w:eastAsia="仿宋" w:cs="仿宋"/>
          <w:sz w:val="24"/>
          <w:highlight w:val="none"/>
        </w:rPr>
        <w:t>发布临时公告。</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6</w:t>
      </w:r>
      <w:r>
        <w:rPr>
          <w:rFonts w:hint="eastAsia" w:ascii="仿宋" w:hAnsi="仿宋" w:eastAsia="仿宋" w:cs="宋体"/>
          <w:sz w:val="24"/>
          <w:highlight w:val="none"/>
          <w:lang w:val="en-US" w:eastAsia="zh-CN"/>
        </w:rPr>
        <w:t>.</w:t>
      </w:r>
      <w:r>
        <w:rPr>
          <w:rFonts w:hint="eastAsia" w:ascii="仿宋" w:hAnsi="仿宋" w:eastAsia="仿宋" w:cs="仿宋"/>
          <w:sz w:val="24"/>
          <w:highlight w:val="none"/>
        </w:rPr>
        <w:t>在运用暂停认购、暂停理财产品估值等措施后，</w:t>
      </w:r>
      <w:r>
        <w:rPr>
          <w:rFonts w:ascii="仿宋" w:hAnsi="仿宋" w:eastAsia="仿宋" w:cs="宋体"/>
          <w:sz w:val="24"/>
          <w:highlight w:val="none"/>
        </w:rPr>
        <w:t>管理人</w:t>
      </w:r>
      <w:r>
        <w:rPr>
          <w:rFonts w:hint="eastAsia" w:ascii="仿宋" w:hAnsi="仿宋" w:eastAsia="仿宋" w:cs="仿宋"/>
          <w:sz w:val="24"/>
          <w:highlight w:val="none"/>
        </w:rPr>
        <w:t>将在3个工作日内,通过</w:t>
      </w:r>
      <w:r>
        <w:rPr>
          <w:rFonts w:hint="eastAsia" w:ascii="仿宋" w:hAnsi="仿宋" w:eastAsia="仿宋" w:cs="宋体"/>
          <w:sz w:val="24"/>
          <w:highlight w:val="none"/>
        </w:rPr>
        <w:t>本产品说明书约定的信息披露渠道披露</w:t>
      </w:r>
      <w:r>
        <w:rPr>
          <w:rFonts w:hint="eastAsia" w:ascii="仿宋" w:hAnsi="仿宋" w:eastAsia="仿宋" w:cs="仿宋"/>
          <w:sz w:val="24"/>
          <w:highlight w:val="none"/>
        </w:rPr>
        <w:t>相关信息，并说明运用相关措施的原因、拟采取的应对安排等。</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s="宋体"/>
          <w:sz w:val="24"/>
          <w:highlight w:val="none"/>
        </w:rPr>
      </w:pPr>
      <w:r>
        <w:rPr>
          <w:rFonts w:ascii="仿宋" w:hAnsi="仿宋" w:eastAsia="仿宋" w:cs="宋体"/>
          <w:sz w:val="24"/>
          <w:highlight w:val="none"/>
        </w:rPr>
        <w:t>（</w:t>
      </w:r>
      <w:r>
        <w:rPr>
          <w:rFonts w:hint="eastAsia" w:ascii="仿宋" w:hAnsi="仿宋" w:eastAsia="仿宋" w:cs="宋体"/>
          <w:sz w:val="24"/>
          <w:highlight w:val="none"/>
        </w:rPr>
        <w:t>三</w:t>
      </w:r>
      <w:r>
        <w:rPr>
          <w:rFonts w:ascii="仿宋" w:hAnsi="仿宋" w:eastAsia="仿宋" w:cs="宋体"/>
          <w:sz w:val="24"/>
          <w:highlight w:val="none"/>
        </w:rPr>
        <w:t>）</w:t>
      </w:r>
      <w:r>
        <w:rPr>
          <w:rFonts w:hint="eastAsia" w:ascii="仿宋" w:hAnsi="仿宋" w:eastAsia="仿宋" w:cs="宋体"/>
          <w:sz w:val="24"/>
          <w:highlight w:val="none"/>
        </w:rPr>
        <w:t>管理人</w:t>
      </w:r>
      <w:r>
        <w:rPr>
          <w:rFonts w:ascii="仿宋" w:hAnsi="仿宋" w:eastAsia="仿宋" w:cs="宋体"/>
          <w:sz w:val="24"/>
          <w:highlight w:val="none"/>
        </w:rPr>
        <w:t>信息披露</w:t>
      </w:r>
      <w:r>
        <w:rPr>
          <w:rFonts w:hint="eastAsia" w:ascii="仿宋" w:hAnsi="仿宋" w:eastAsia="仿宋" w:cs="宋体"/>
          <w:sz w:val="24"/>
          <w:highlight w:val="none"/>
        </w:rPr>
        <w:t>的方式</w:t>
      </w:r>
      <w:r>
        <w:rPr>
          <w:rFonts w:ascii="仿宋" w:hAnsi="仿宋" w:eastAsia="仿宋" w:cs="宋体"/>
          <w:sz w:val="24"/>
          <w:highlight w:val="none"/>
        </w:rPr>
        <w:t>及披露渠道</w:t>
      </w:r>
    </w:p>
    <w:p>
      <w:pPr>
        <w:pStyle w:val="1"/>
        <w:keepNext w:val="0"/>
        <w:keepLines w:val="0"/>
        <w:pageBreakBefore w:val="0"/>
        <w:widowControl w:val="0"/>
        <w:kinsoku/>
        <w:wordWrap/>
        <w:overflowPunct/>
        <w:topLinePunct w:val="0"/>
        <w:bidi w:val="0"/>
        <w:adjustRightInd/>
        <w:snapToGrid/>
        <w:spacing w:line="276" w:lineRule="auto"/>
        <w:ind w:firstLine="482" w:firstLineChars="200"/>
        <w:contextualSpacing/>
        <w:jc w:val="both"/>
        <w:textAlignment w:val="auto"/>
        <w:rPr>
          <w:rFonts w:ascii="仿宋" w:hAnsi="仿宋" w:eastAsia="仿宋" w:cs="宋体"/>
          <w:sz w:val="24"/>
          <w:highlight w:val="none"/>
        </w:rPr>
      </w:pPr>
      <w:r>
        <w:rPr>
          <w:rFonts w:hint="eastAsia" w:ascii="仿宋" w:hAnsi="仿宋" w:eastAsia="仿宋" w:cs="宋体"/>
          <w:b/>
          <w:sz w:val="24"/>
          <w:highlight w:val="none"/>
        </w:rPr>
        <w:t>管理人将通过华夏理财有限责任公司官方网站（www.hxwm.com.cn）</w:t>
      </w:r>
      <w:r>
        <w:rPr>
          <w:rFonts w:hint="eastAsia" w:ascii="仿宋" w:hAnsi="仿宋" w:eastAsia="仿宋" w:cs="宋体"/>
          <w:b/>
          <w:sz w:val="24"/>
          <w:highlight w:val="none"/>
          <w:lang w:val="en-US" w:eastAsia="zh-CN"/>
        </w:rPr>
        <w:t>或</w:t>
      </w:r>
      <w:r>
        <w:rPr>
          <w:rFonts w:hint="eastAsia" w:ascii="仿宋" w:hAnsi="仿宋" w:eastAsia="仿宋" w:cs="宋体"/>
          <w:b/>
          <w:sz w:val="24"/>
          <w:highlight w:val="none"/>
        </w:rPr>
        <w:t>代销机构（如有）信息披露渠道</w:t>
      </w:r>
      <w:r>
        <w:rPr>
          <w:rFonts w:hint="eastAsia" w:ascii="仿宋" w:hAnsi="仿宋" w:eastAsia="仿宋" w:cs="宋体"/>
          <w:b/>
          <w:kern w:val="0"/>
          <w:sz w:val="24"/>
          <w:highlight w:val="none"/>
          <w:lang w:eastAsia="zh-CN"/>
        </w:rPr>
        <w:t>（</w:t>
      </w:r>
      <w:r>
        <w:rPr>
          <w:rFonts w:hint="eastAsia" w:ascii="仿宋" w:hAnsi="仿宋" w:eastAsia="仿宋" w:cs="宋体"/>
          <w:b/>
          <w:kern w:val="0"/>
          <w:sz w:val="24"/>
          <w:highlight w:val="none"/>
          <w:lang w:val="en-US" w:eastAsia="zh-CN"/>
        </w:rPr>
        <w:t>包括但不限于营业网点、门户网站、移动客户端或其他电子销售渠道</w:t>
      </w:r>
      <w:r>
        <w:rPr>
          <w:rFonts w:hint="eastAsia" w:ascii="仿宋" w:hAnsi="仿宋" w:eastAsia="仿宋" w:cs="宋体"/>
          <w:b/>
          <w:kern w:val="0"/>
          <w:sz w:val="24"/>
          <w:highlight w:val="none"/>
          <w:lang w:eastAsia="zh-CN"/>
        </w:rPr>
        <w:t>）</w:t>
      </w:r>
      <w:r>
        <w:rPr>
          <w:rFonts w:hint="eastAsia" w:ascii="仿宋" w:hAnsi="仿宋" w:eastAsia="仿宋" w:cs="宋体"/>
          <w:b/>
          <w:sz w:val="24"/>
          <w:highlight w:val="none"/>
        </w:rPr>
        <w:t>进行</w:t>
      </w:r>
      <w:r>
        <w:rPr>
          <w:rFonts w:ascii="仿宋" w:hAnsi="仿宋" w:eastAsia="仿宋" w:cs="宋体"/>
          <w:b/>
          <w:sz w:val="24"/>
          <w:highlight w:val="none"/>
        </w:rPr>
        <w:t>上述信息的披露。投资者应</w:t>
      </w:r>
      <w:r>
        <w:rPr>
          <w:rFonts w:hint="eastAsia" w:ascii="仿宋" w:hAnsi="仿宋" w:eastAsia="仿宋" w:cs="宋体"/>
          <w:b/>
          <w:sz w:val="24"/>
          <w:highlight w:val="none"/>
        </w:rPr>
        <w:t>持续</w:t>
      </w:r>
      <w:r>
        <w:rPr>
          <w:rFonts w:ascii="仿宋" w:hAnsi="仿宋" w:eastAsia="仿宋" w:cs="宋体"/>
          <w:b/>
          <w:sz w:val="24"/>
          <w:highlight w:val="none"/>
        </w:rPr>
        <w:t>通过上述渠道获知有关信息或</w:t>
      </w:r>
      <w:r>
        <w:rPr>
          <w:rFonts w:hint="eastAsia" w:ascii="仿宋" w:hAnsi="仿宋" w:eastAsia="仿宋" w:cs="宋体"/>
          <w:b/>
          <w:sz w:val="24"/>
          <w:highlight w:val="none"/>
        </w:rPr>
        <w:t>主动</w:t>
      </w:r>
      <w:r>
        <w:rPr>
          <w:rFonts w:ascii="仿宋" w:hAnsi="仿宋" w:eastAsia="仿宋" w:cs="宋体"/>
          <w:b/>
          <w:sz w:val="24"/>
          <w:highlight w:val="none"/>
        </w:rPr>
        <w:t>致电</w:t>
      </w:r>
      <w:r>
        <w:rPr>
          <w:rFonts w:hint="eastAsia" w:ascii="仿宋" w:hAnsi="仿宋" w:eastAsia="仿宋" w:cs="宋体"/>
          <w:b/>
          <w:sz w:val="24"/>
          <w:highlight w:val="none"/>
        </w:rPr>
        <w:t>华夏理财客户服务热线</w:t>
      </w:r>
      <w:r>
        <w:rPr>
          <w:rFonts w:hint="eastAsia" w:ascii="仿宋" w:hAnsi="仿宋" w:eastAsia="仿宋" w:cs="宋体"/>
          <w:b/>
          <w:sz w:val="24"/>
          <w:highlight w:val="none"/>
          <w:lang w:eastAsia="zh-CN"/>
        </w:rPr>
        <w:t>（</w:t>
      </w:r>
      <w:r>
        <w:rPr>
          <w:rFonts w:hint="eastAsia" w:ascii="仿宋" w:hAnsi="仿宋" w:eastAsia="仿宋" w:cs="宋体"/>
          <w:b/>
          <w:sz w:val="24"/>
          <w:highlight w:val="none"/>
        </w:rPr>
        <w:t>4001795577</w:t>
      </w:r>
      <w:r>
        <w:rPr>
          <w:rFonts w:hint="eastAsia" w:ascii="仿宋" w:hAnsi="仿宋" w:eastAsia="仿宋" w:cs="宋体"/>
          <w:b/>
          <w:sz w:val="24"/>
          <w:highlight w:val="none"/>
          <w:lang w:eastAsia="zh-CN"/>
        </w:rPr>
        <w:t>）</w:t>
      </w:r>
      <w:r>
        <w:rPr>
          <w:rFonts w:ascii="仿宋" w:hAnsi="仿宋" w:eastAsia="仿宋" w:cs="宋体"/>
          <w:b/>
          <w:sz w:val="24"/>
          <w:highlight w:val="none"/>
        </w:rPr>
        <w:t>查询</w:t>
      </w:r>
      <w:r>
        <w:rPr>
          <w:rFonts w:hint="eastAsia" w:ascii="仿宋" w:hAnsi="仿宋" w:eastAsia="仿宋" w:cs="宋体"/>
          <w:sz w:val="24"/>
          <w:highlight w:val="none"/>
        </w:rPr>
        <w:t>。</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s="宋体"/>
          <w:sz w:val="24"/>
          <w:highlight w:val="none"/>
        </w:rPr>
      </w:pPr>
      <w:r>
        <w:rPr>
          <w:rFonts w:hint="eastAsia" w:ascii="仿宋" w:hAnsi="仿宋" w:eastAsia="仿宋" w:cs="宋体"/>
          <w:sz w:val="24"/>
          <w:highlight w:val="none"/>
        </w:rPr>
        <w:t>（四）投资者关于信息披露的确认</w:t>
      </w:r>
    </w:p>
    <w:p>
      <w:pPr>
        <w:pStyle w:val="183"/>
        <w:keepNext w:val="0"/>
        <w:keepLines w:val="0"/>
        <w:pageBreakBefore w:val="0"/>
        <w:widowControl w:val="0"/>
        <w:kinsoku/>
        <w:wordWrap/>
        <w:overflowPunct/>
        <w:topLinePunct w:val="0"/>
        <w:bidi w:val="0"/>
        <w:adjustRightInd/>
        <w:snapToGrid/>
        <w:spacing w:line="276" w:lineRule="auto"/>
        <w:ind w:firstLine="480" w:firstLineChars="200"/>
        <w:jc w:val="both"/>
        <w:textAlignment w:val="auto"/>
        <w:rPr>
          <w:rFonts w:ascii="Times New Roman" w:eastAsia="黑体" w:cs="Times New Roman"/>
          <w:b/>
          <w:color w:val="auto"/>
          <w:highlight w:val="none"/>
        </w:rPr>
      </w:pPr>
      <w:r>
        <w:rPr>
          <w:rFonts w:hint="eastAsia" w:ascii="仿宋" w:hAnsi="仿宋" w:eastAsia="仿宋"/>
          <w:highlight w:val="none"/>
        </w:rPr>
        <w:t>投资者确认并同意管理人可以通过上述方式披露理财</w:t>
      </w:r>
      <w:r>
        <w:rPr>
          <w:rFonts w:ascii="仿宋" w:hAnsi="仿宋" w:eastAsia="仿宋"/>
          <w:highlight w:val="none"/>
        </w:rPr>
        <w:t>产品</w:t>
      </w:r>
      <w:r>
        <w:rPr>
          <w:rFonts w:hint="eastAsia" w:ascii="仿宋" w:hAnsi="仿宋" w:eastAsia="仿宋"/>
          <w:highlight w:val="none"/>
        </w:rPr>
        <w:t>信息。</w:t>
      </w:r>
      <w:r>
        <w:rPr>
          <w:rFonts w:hint="eastAsia" w:ascii="仿宋" w:hAnsi="仿宋" w:eastAsia="仿宋" w:cs="宋体"/>
          <w:kern w:val="0"/>
          <w:sz w:val="24"/>
          <w:highlight w:val="none"/>
          <w:lang w:val="en-US" w:eastAsia="zh-CN"/>
        </w:rPr>
        <w:t>产品管理人通过管理人或销售机构的信息披露渠道发布理财产品的有关信息，自披露之日即视为已适当履行信息披露义务。</w:t>
      </w:r>
      <w:r>
        <w:rPr>
          <w:rFonts w:hint="eastAsia" w:ascii="仿宋" w:hAnsi="仿宋" w:eastAsia="仿宋"/>
          <w:highlight w:val="none"/>
        </w:rPr>
        <w:t>投资者应及时、主动通过上述信息披露渠道浏览并阅读理财</w:t>
      </w:r>
      <w:r>
        <w:rPr>
          <w:rFonts w:ascii="仿宋" w:hAnsi="仿宋" w:eastAsia="仿宋"/>
          <w:highlight w:val="none"/>
        </w:rPr>
        <w:t>产品</w:t>
      </w:r>
      <w:r>
        <w:rPr>
          <w:rFonts w:hint="eastAsia" w:ascii="仿宋" w:hAnsi="仿宋" w:eastAsia="仿宋"/>
          <w:highlight w:val="none"/>
        </w:rPr>
        <w:t>信息及公告。</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十、特别提示</w:t>
      </w:r>
    </w:p>
    <w:p>
      <w:pPr>
        <w:pStyle w:val="1"/>
        <w:keepLines w:val="0"/>
        <w:pageBreakBefore w:val="0"/>
        <w:kinsoku/>
        <w:wordWrap/>
        <w:overflowPunct/>
        <w:topLinePunct w:val="0"/>
        <w:bidi w:val="0"/>
        <w:adjustRightInd/>
        <w:snapToGrid/>
        <w:spacing w:line="276" w:lineRule="auto"/>
        <w:ind w:firstLine="482" w:firstLineChars="200"/>
        <w:contextualSpacing/>
        <w:jc w:val="both"/>
        <w:textAlignment w:val="auto"/>
        <w:rPr>
          <w:rFonts w:hint="eastAsia" w:ascii="黑体" w:hAnsi="黑体" w:eastAsia="黑体" w:cs="黑体"/>
          <w:b/>
          <w:bCs/>
          <w:sz w:val="24"/>
          <w:highlight w:val="none"/>
        </w:rPr>
      </w:pPr>
      <w:r>
        <w:rPr>
          <w:rFonts w:hint="eastAsia" w:ascii="黑体" w:hAnsi="黑体" w:eastAsia="黑体" w:cs="黑体"/>
          <w:b/>
          <w:bCs/>
          <w:sz w:val="24"/>
          <w:highlight w:val="none"/>
        </w:rPr>
        <w:t>在本理财产品存续期内，如出于维持本产品正常运营的需要且在不损害投资者利益的前提下，或因国家法律法规、监管规定发生变化，华夏理财有权在法律允许的范围内单方修订本产品说明书。华夏理财决定修订产品说明书的，将提前3个工作日以</w:t>
      </w:r>
      <w:r>
        <w:rPr>
          <w:rFonts w:hint="eastAsia" w:ascii="黑体" w:hAnsi="黑体" w:eastAsia="黑体" w:cs="黑体"/>
          <w:b/>
          <w:bCs/>
          <w:kern w:val="0"/>
          <w:sz w:val="24"/>
          <w:highlight w:val="none"/>
          <w:lang w:val="en-US" w:eastAsia="zh-CN"/>
        </w:rPr>
        <w:t>本说明书约定的信息披露</w:t>
      </w:r>
      <w:r>
        <w:rPr>
          <w:rFonts w:hint="eastAsia" w:ascii="黑体" w:hAnsi="黑体" w:eastAsia="黑体" w:cs="黑体"/>
          <w:b/>
          <w:bCs/>
          <w:sz w:val="24"/>
          <w:highlight w:val="none"/>
        </w:rPr>
        <w:t>方式通知投资者。</w:t>
      </w:r>
    </w:p>
    <w:p>
      <w:pPr>
        <w:pStyle w:val="1"/>
        <w:keepLines w:val="0"/>
        <w:pageBreakBefore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color w:val="000000"/>
          <w:sz w:val="24"/>
          <w:highlight w:val="none"/>
        </w:rPr>
        <w:t>本</w:t>
      </w:r>
      <w:r>
        <w:rPr>
          <w:rFonts w:hint="eastAsia" w:ascii="仿宋" w:hAnsi="仿宋" w:eastAsia="仿宋" w:cs="宋体"/>
          <w:color w:val="000000"/>
          <w:sz w:val="24"/>
          <w:highlight w:val="none"/>
        </w:rPr>
        <w:t>理财</w:t>
      </w:r>
      <w:r>
        <w:rPr>
          <w:rFonts w:ascii="仿宋" w:hAnsi="仿宋" w:eastAsia="仿宋" w:cs="宋体"/>
          <w:color w:val="000000"/>
          <w:sz w:val="24"/>
          <w:highlight w:val="none"/>
        </w:rPr>
        <w:t>产品说明书</w:t>
      </w:r>
      <w:r>
        <w:rPr>
          <w:rFonts w:hint="eastAsia" w:ascii="仿宋" w:hAnsi="仿宋" w:eastAsia="仿宋" w:cs="宋体"/>
          <w:color w:val="000000"/>
          <w:sz w:val="24"/>
          <w:highlight w:val="none"/>
        </w:rPr>
        <w:t>与理财产品销售/代理销售协议书、理财产品投资协议书、理财产品风险揭示书和投资者权益须知共同组成投资者与华夏理财之间理财产品合同的不可分割之组成部分</w:t>
      </w:r>
      <w:r>
        <w:rPr>
          <w:rFonts w:ascii="仿宋" w:hAnsi="仿宋" w:eastAsia="仿宋" w:cs="宋体"/>
          <w:color w:val="000000"/>
          <w:sz w:val="24"/>
          <w:highlight w:val="none"/>
        </w:rPr>
        <w:t>。</w:t>
      </w:r>
      <w:r>
        <w:rPr>
          <w:rFonts w:ascii="仿宋" w:hAnsi="仿宋" w:eastAsia="仿宋" w:cs="宋体"/>
          <w:sz w:val="24"/>
          <w:highlight w:val="none"/>
        </w:rPr>
        <w:t>若投资者对</w:t>
      </w:r>
      <w:r>
        <w:rPr>
          <w:rFonts w:hint="eastAsia" w:ascii="仿宋" w:hAnsi="仿宋" w:eastAsia="仿宋" w:cs="宋体"/>
          <w:sz w:val="24"/>
          <w:highlight w:val="none"/>
        </w:rPr>
        <w:t>本产品说明书</w:t>
      </w:r>
      <w:r>
        <w:rPr>
          <w:rFonts w:ascii="仿宋" w:hAnsi="仿宋" w:eastAsia="仿宋" w:cs="宋体"/>
          <w:sz w:val="24"/>
          <w:highlight w:val="none"/>
        </w:rPr>
        <w:t>的内容有任何疑问，请向华夏</w:t>
      </w:r>
      <w:r>
        <w:rPr>
          <w:rFonts w:hint="eastAsia" w:ascii="仿宋" w:hAnsi="仿宋" w:eastAsia="仿宋" w:cs="宋体"/>
          <w:sz w:val="24"/>
          <w:highlight w:val="none"/>
        </w:rPr>
        <w:t>理财</w:t>
      </w:r>
      <w:r>
        <w:rPr>
          <w:rFonts w:hint="eastAsia" w:ascii="仿宋" w:hAnsi="仿宋" w:eastAsia="仿宋" w:cs="宋体"/>
          <w:color w:val="000000"/>
          <w:sz w:val="24"/>
          <w:highlight w:val="none"/>
        </w:rPr>
        <w:t>/代销机构</w:t>
      </w:r>
      <w:r>
        <w:rPr>
          <w:rFonts w:ascii="仿宋" w:hAnsi="仿宋" w:eastAsia="仿宋" w:cs="宋体"/>
          <w:sz w:val="24"/>
          <w:highlight w:val="none"/>
        </w:rPr>
        <w:t>咨询。</w:t>
      </w:r>
    </w:p>
    <w:p>
      <w:pPr>
        <w:pStyle w:val="1"/>
        <w:keepLines w:val="0"/>
        <w:pageBreakBefore w:val="0"/>
        <w:widowControl/>
        <w:kinsoku/>
        <w:wordWrap/>
        <w:overflowPunct/>
        <w:topLinePunct w:val="0"/>
        <w:bidi w:val="0"/>
        <w:adjustRightInd/>
        <w:snapToGrid/>
        <w:spacing w:line="276" w:lineRule="auto"/>
        <w:ind w:firstLine="482" w:firstLineChars="200"/>
        <w:contextualSpacing/>
        <w:jc w:val="both"/>
        <w:textAlignment w:val="auto"/>
        <w:rPr>
          <w:rFonts w:eastAsia="黑体"/>
          <w:b/>
          <w:highlight w:val="none"/>
        </w:rPr>
      </w:pPr>
      <w:r>
        <w:rPr>
          <w:rFonts w:eastAsia="黑体"/>
          <w:b/>
          <w:bCs/>
          <w:sz w:val="24"/>
          <w:highlight w:val="none"/>
        </w:rPr>
        <w:t>投资者在</w:t>
      </w:r>
      <w:r>
        <w:rPr>
          <w:rFonts w:hint="eastAsia" w:eastAsia="黑体"/>
          <w:b/>
          <w:bCs/>
          <w:sz w:val="24"/>
          <w:highlight w:val="none"/>
        </w:rPr>
        <w:t>购买</w:t>
      </w:r>
      <w:r>
        <w:rPr>
          <w:rFonts w:eastAsia="黑体"/>
          <w:b/>
          <w:bCs/>
          <w:sz w:val="24"/>
          <w:highlight w:val="none"/>
        </w:rPr>
        <w:t>理财产品前已阅读本理财产品风险</w:t>
      </w:r>
      <w:r>
        <w:rPr>
          <w:rFonts w:hint="eastAsia" w:eastAsia="黑体"/>
          <w:b/>
          <w:bCs/>
          <w:sz w:val="24"/>
          <w:highlight w:val="none"/>
        </w:rPr>
        <w:t>揭示内容</w:t>
      </w:r>
      <w:r>
        <w:rPr>
          <w:rFonts w:eastAsia="黑体"/>
          <w:b/>
          <w:bCs/>
          <w:sz w:val="24"/>
          <w:highlight w:val="none"/>
        </w:rPr>
        <w:t>，充分了解并知晓本理财产品的风险，自愿承担相</w:t>
      </w:r>
      <w:r>
        <w:rPr>
          <w:rFonts w:hint="eastAsia" w:eastAsia="黑体"/>
          <w:b/>
          <w:bCs/>
          <w:sz w:val="24"/>
          <w:highlight w:val="none"/>
        </w:rPr>
        <w:t>应</w:t>
      </w:r>
      <w:r>
        <w:rPr>
          <w:rFonts w:eastAsia="黑体"/>
          <w:b/>
          <w:bCs/>
          <w:sz w:val="24"/>
          <w:highlight w:val="none"/>
        </w:rPr>
        <w:t>风险，并授权华夏</w:t>
      </w:r>
      <w:r>
        <w:rPr>
          <w:rFonts w:hint="eastAsia" w:eastAsia="黑体"/>
          <w:b/>
          <w:bCs/>
          <w:sz w:val="24"/>
          <w:highlight w:val="none"/>
        </w:rPr>
        <w:t>理财</w:t>
      </w:r>
      <w:r>
        <w:rPr>
          <w:rFonts w:eastAsia="黑体"/>
          <w:b/>
          <w:bCs/>
          <w:sz w:val="24"/>
          <w:highlight w:val="none"/>
        </w:rPr>
        <w:t>根据本</w:t>
      </w:r>
      <w:r>
        <w:rPr>
          <w:rFonts w:hint="eastAsia" w:eastAsia="黑体"/>
          <w:b/>
          <w:bCs/>
          <w:sz w:val="24"/>
          <w:highlight w:val="none"/>
        </w:rPr>
        <w:t>产品说明书约定</w:t>
      </w:r>
      <w:r>
        <w:rPr>
          <w:rFonts w:eastAsia="黑体"/>
          <w:b/>
          <w:bCs/>
          <w:sz w:val="24"/>
          <w:highlight w:val="none"/>
        </w:rPr>
        <w:t>投资。</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十一、说明书签署及生效</w:t>
      </w:r>
    </w:p>
    <w:p>
      <w:pPr>
        <w:pStyle w:val="1"/>
        <w:keepLines w:val="0"/>
        <w:pageBreakBefore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如客户通过华夏理财/代销机构网点的柜面渠道购买本理财产品，本产品说明书经自然人客户签字/法人或其他组织客户的法定代表人或授权代表签章并加盖公章、成功缴纳购买资金，并经华夏理财系统确认购买份额之日起生效。</w:t>
      </w:r>
    </w:p>
    <w:p>
      <w:pPr>
        <w:pStyle w:val="1"/>
        <w:keepLines w:val="0"/>
        <w:pageBreakBefore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如客户通过华夏理财/代销机构电子渠道购买本理财产品，本产品说明书自客户通过电子渠道确认同意，完成购买资金划付，并经华夏理财系统确认购买份额之日起生效。</w:t>
      </w:r>
    </w:p>
    <w:p>
      <w:pPr>
        <w:pStyle w:val="1"/>
        <w:spacing w:line="276" w:lineRule="auto"/>
        <w:contextualSpacing/>
        <w:jc w:val="left"/>
        <w:rPr>
          <w:rFonts w:ascii="仿宋" w:hAnsi="仿宋" w:eastAsia="仿宋" w:cs="宋体"/>
          <w:sz w:val="24"/>
          <w:highlight w:val="none"/>
        </w:rPr>
      </w:pPr>
    </w:p>
    <w:p>
      <w:pPr>
        <w:pStyle w:val="1"/>
        <w:spacing w:line="276" w:lineRule="auto"/>
        <w:contextualSpacing/>
        <w:jc w:val="left"/>
        <w:rPr>
          <w:rFonts w:ascii="仿宋" w:hAnsi="仿宋" w:eastAsia="仿宋" w:cs="宋体"/>
          <w:color w:val="000000"/>
          <w:sz w:val="24"/>
          <w:highlight w:val="none"/>
        </w:rPr>
      </w:pPr>
    </w:p>
    <w:p>
      <w:pPr>
        <w:pStyle w:val="1"/>
        <w:spacing w:line="276" w:lineRule="auto"/>
        <w:ind w:firstLine="0"/>
        <w:contextualSpacing/>
        <w:jc w:val="left"/>
        <w:rPr>
          <w:rFonts w:ascii="仿宋" w:hAnsi="仿宋" w:eastAsia="仿宋" w:cs="宋体"/>
          <w:color w:val="000000"/>
          <w:sz w:val="24"/>
          <w:highlight w:val="none"/>
        </w:rPr>
      </w:pPr>
    </w:p>
    <w:p>
      <w:pPr>
        <w:pStyle w:val="1"/>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投资者自然人</w:t>
      </w:r>
      <w:r>
        <w:rPr>
          <w:rFonts w:ascii="仿宋" w:hAnsi="仿宋" w:eastAsia="仿宋" w:cs="宋体"/>
          <w:color w:val="000000"/>
          <w:sz w:val="24"/>
          <w:highlight w:val="none"/>
        </w:rPr>
        <w:t>（</w:t>
      </w:r>
      <w:r>
        <w:rPr>
          <w:rFonts w:hint="eastAsia" w:ascii="仿宋" w:hAnsi="仿宋" w:eastAsia="仿宋" w:cs="宋体"/>
          <w:color w:val="000000"/>
          <w:sz w:val="24"/>
          <w:highlight w:val="none"/>
        </w:rPr>
        <w:t>签字或线上确认同意</w:t>
      </w:r>
      <w:r>
        <w:rPr>
          <w:rFonts w:ascii="仿宋" w:hAnsi="仿宋" w:eastAsia="仿宋" w:cs="宋体"/>
          <w:color w:val="000000"/>
          <w:sz w:val="24"/>
          <w:highlight w:val="none"/>
        </w:rPr>
        <w:t>）</w:t>
      </w:r>
      <w:r>
        <w:rPr>
          <w:rFonts w:hint="eastAsia" w:ascii="仿宋" w:hAnsi="仿宋" w:eastAsia="仿宋" w:cs="宋体"/>
          <w:color w:val="000000"/>
          <w:sz w:val="24"/>
          <w:highlight w:val="none"/>
        </w:rPr>
        <w:t xml:space="preserve">：  </w:t>
      </w:r>
    </w:p>
    <w:p>
      <w:pPr>
        <w:pStyle w:val="1"/>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          </w:t>
      </w:r>
    </w:p>
    <w:p>
      <w:pPr>
        <w:pStyle w:val="1"/>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（或）法人或其他组织（盖章或线上确认同意）：           </w:t>
      </w:r>
    </w:p>
    <w:p>
      <w:pPr>
        <w:pStyle w:val="1"/>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法定代表人或授权代表（签章或线上确认同意）：</w:t>
      </w:r>
    </w:p>
    <w:p>
      <w:pPr>
        <w:pStyle w:val="1"/>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 </w:t>
      </w:r>
    </w:p>
    <w:p>
      <w:pPr>
        <w:pStyle w:val="1"/>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管理人：</w:t>
      </w:r>
      <w:r>
        <w:rPr>
          <w:rFonts w:hint="eastAsia" w:ascii="仿宋" w:hAnsi="仿宋" w:eastAsia="仿宋" w:cs="宋体"/>
          <w:sz w:val="24"/>
          <w:highlight w:val="none"/>
        </w:rPr>
        <w:t>华夏理财有限责任公司</w:t>
      </w:r>
    </w:p>
    <w:p>
      <w:pPr>
        <w:pStyle w:val="1"/>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                  </w:t>
      </w:r>
      <w:r>
        <w:rPr>
          <w:rFonts w:ascii="仿宋" w:hAnsi="仿宋" w:eastAsia="仿宋" w:cs="宋体"/>
          <w:color w:val="000000"/>
          <w:sz w:val="24"/>
          <w:highlight w:val="none"/>
        </w:rPr>
        <w:t xml:space="preserve">               </w:t>
      </w:r>
    </w:p>
    <w:p>
      <w:pPr>
        <w:pStyle w:val="1"/>
        <w:keepNext/>
        <w:keepLines w:val="0"/>
        <w:pageBreakBefore w:val="0"/>
        <w:widowControl w:val="0"/>
        <w:kinsoku/>
        <w:wordWrap/>
        <w:overflowPunct/>
        <w:topLinePunct w:val="0"/>
        <w:autoSpaceDE/>
        <w:autoSpaceDN/>
        <w:bidi w:val="0"/>
        <w:adjustRightInd/>
        <w:snapToGrid/>
        <w:spacing w:line="276" w:lineRule="auto"/>
        <w:ind w:firstLine="480" w:firstLineChars="200"/>
        <w:textAlignment w:val="auto"/>
        <w:rPr>
          <w:highlight w:val="none"/>
        </w:rPr>
      </w:pPr>
      <w:r>
        <w:rPr>
          <w:rFonts w:hint="eastAsia" w:ascii="仿宋" w:hAnsi="仿宋" w:eastAsia="仿宋" w:cs="宋体"/>
          <w:color w:val="000000"/>
          <w:sz w:val="24"/>
          <w:highlight w:val="none"/>
        </w:rPr>
        <w:t xml:space="preserve">日期：     年     月    日 </w:t>
      </w:r>
      <w:r>
        <w:rPr>
          <w:rFonts w:ascii="仿宋" w:hAnsi="仿宋" w:eastAsia="仿宋" w:cs="宋体"/>
          <w:color w:val="000000"/>
          <w:highlight w:val="none"/>
        </w:rPr>
        <w:t xml:space="preserve">             </w:t>
      </w:r>
    </w:p>
    <w:p>
      <w:pPr>
        <w:pStyle w:val="1"/>
        <w:rPr>
          <w:highlight w:val="none"/>
        </w:rPr>
      </w:pPr>
    </w:p>
    <w:p>
      <w:pPr>
        <w:pStyle w:val="1"/>
        <w:pageBreakBefore w:val="true"/>
      </w:pPr>
    </w:p>
    <w:p>
      <w:pPr>
        <w:pStyle w:val="58b1f9d7"/>
        <w:spacing w:line="360" w:lineRule="auto"/>
        <w:jc w:val="left"/>
        <w:rPr>
          <w:rFonts w:hint="eastAsia" w:ascii="仿宋" w:hAnsi="仿宋" w:eastAsia="仿宋" w:cs="仿宋"/>
          <w:sz w:val="36"/>
        </w:rPr>
      </w:pPr>
      <w:bookmarkStart w:id="0" w:name="_GoBack"/>
      <w:bookmarkEnd w:id="0"/>
      <w:r>
        <w:rPr>
          <w:rFonts w:hint="eastAsia" w:ascii="仿宋" w:hAnsi="仿宋" w:eastAsia="仿宋" w:cs="仿宋"/>
          <w:sz w:val="36"/>
        </w:rPr>
        <w:drawing>
          <wp:inline distT="0" distB="0" distL="114300" distR="114300">
            <wp:extent cx="2767330" cy="467360"/>
            <wp:effectExtent l="0" t="0" r="13970" b="889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3"/>
                    <a:stretch>
                      <a:fillRect/>
                    </a:stretch>
                  </pic:blipFill>
                  <pic:spPr>
                    <a:xfrm>
                      <a:off x="0" y="0"/>
                      <a:ext cx="2767330" cy="467360"/>
                    </a:xfrm>
                    <a:prstGeom prst="rect">
                      <a:avLst/>
                    </a:prstGeom>
                    <a:noFill/>
                    <a:ln>
                      <a:noFill/>
                    </a:ln>
                  </pic:spPr>
                </pic:pic>
              </a:graphicData>
            </a:graphic>
          </wp:inline>
        </w:drawing>
      </w:r>
    </w:p>
    <w:p>
      <w:pPr>
        <w:pStyle w:val="58b1f9d7"/>
        <w:spacing w:line="360" w:lineRule="auto"/>
        <w:jc w:val="center"/>
        <w:rPr>
          <w:rFonts w:hint="eastAsia" w:ascii="微软简标宋" w:eastAsia="微软简标宋"/>
          <w:sz w:val="32"/>
        </w:rPr>
      </w:pPr>
      <w:r>
        <w:rPr>
          <w:rFonts w:hint="eastAsia" w:ascii="方正小标宋_GBK" w:hAnsi="方正小标宋_GBK" w:eastAsia="方正小标宋_GBK" w:cs="方正小标宋_GBK"/>
          <w:sz w:val="32"/>
        </w:rPr>
        <w:t>华夏理财有限责任公司理财产品风险揭示书</w:t>
      </w:r>
    </w:p>
    <w:p>
      <w:pPr>
        <w:pStyle w:val="58b1f9d7"/>
        <w:spacing w:line="360" w:lineRule="auto"/>
        <w:rPr>
          <w:rFonts w:ascii="宋体" w:hAnsi="宋体" w:cs="宋体"/>
          <w:sz w:val="24"/>
        </w:rPr>
      </w:pPr>
    </w:p>
    <w:p>
      <w:pPr>
        <w:pStyle w:val="58b1f9d7"/>
        <w:spacing w:line="360" w:lineRule="auto"/>
        <w:rPr>
          <w:rFonts w:hint="eastAsia" w:ascii="仿宋" w:hAnsi="仿宋" w:eastAsia="仿宋" w:cs="仿宋"/>
          <w:szCs w:val="21"/>
        </w:rPr>
      </w:pPr>
      <w:r>
        <w:rPr>
          <w:rFonts w:hint="eastAsia" w:ascii="仿宋" w:hAnsi="仿宋" w:eastAsia="仿宋" w:cs="仿宋"/>
          <w:szCs w:val="21"/>
        </w:rPr>
        <w:t>尊敬的投资者：</w:t>
      </w:r>
      <w:r>
        <w:rPr>
          <w:rFonts w:hint="eastAsia" w:ascii="仿宋" w:hAnsi="仿宋" w:eastAsia="仿宋" w:cs="仿宋"/>
          <w:szCs w:val="21"/>
        </w:rPr>
        <w:tab/>
      </w:r>
    </w:p>
    <w:p>
      <w:pPr>
        <w:pStyle w:val="58b1f9d7"/>
        <w:spacing w:line="360" w:lineRule="auto"/>
        <w:ind w:firstLine="422" w:firstLineChars="200"/>
        <w:rPr>
          <w:rFonts w:hint="eastAsia" w:ascii="仿宋" w:hAnsi="仿宋" w:eastAsia="仿宋" w:cs="仿宋"/>
          <w:szCs w:val="21"/>
        </w:rPr>
      </w:pPr>
      <w:r>
        <w:rPr>
          <w:rFonts w:hint="eastAsia" w:ascii="仿宋" w:hAnsi="仿宋" w:eastAsia="仿宋" w:cs="仿宋"/>
          <w:b/>
          <w:szCs w:val="21"/>
        </w:rPr>
        <w:t>理财非存款、产品有风险、投资须谨慎。</w:t>
      </w:r>
      <w:r>
        <w:rPr>
          <w:rFonts w:hint="eastAsia" w:ascii="仿宋" w:hAnsi="仿宋" w:eastAsia="仿宋" w:cs="仿宋"/>
          <w:szCs w:val="21"/>
        </w:rPr>
        <w:t>由于理财资金在管理运用过程中，可能会面临多种风险因素，根据国家金融监督管理总局相关监管规定，在您选择购买华夏理财有限责任公司（以下简称：华夏理财/本公司）理财产品前，请仔细阅读以下重要内容：</w:t>
      </w:r>
    </w:p>
    <w:p>
      <w:pPr>
        <w:pStyle w:val="58b1f9d7"/>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一、风险揭示</w:t>
      </w:r>
    </w:p>
    <w:p>
      <w:pPr>
        <w:pStyle w:val="58b1f9d7"/>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1.关联关系风险：理财产品的代理销售机构（以下简称“代销机构”）与托管机构可能为产品管理人的关联方，</w:t>
      </w:r>
      <w:r>
        <w:rPr>
          <w:rFonts w:hint="eastAsia" w:ascii="仿宋" w:hAnsi="仿宋" w:eastAsia="仿宋" w:cs="仿宋"/>
          <w:b/>
          <w:szCs w:val="21"/>
        </w:rPr>
        <w:t>包括但不限于管理人控股股东华夏银行股份有限公司，以及其他根据法律法规和金融监督管理部门相关规定认定的关联方。华夏理财已按规定履行相应的审批或备案程序，并进行充分披露。理财产品可能涉及的关联交易类型包括但不限于投资管理人关联方发行或承销的证券、发行的资产管理产品等。尽管管理人承诺与关联方开展的各项关联交易严格遵循商业原则和市场价格原则，但仍无法排除因关联交易而影响理财产品净值的可能，进而给投资者造成潜在风险。</w:t>
      </w:r>
    </w:p>
    <w:p>
      <w:pPr>
        <w:pStyle w:val="58b1f9d7"/>
        <w:spacing w:line="360" w:lineRule="auto"/>
        <w:ind w:firstLine="420" w:firstLineChars="200"/>
        <w:rPr>
          <w:rFonts w:hint="eastAsia" w:ascii="仿宋" w:hAnsi="仿宋" w:eastAsia="仿宋" w:cs="仿宋"/>
          <w:szCs w:val="21"/>
        </w:rPr>
      </w:pPr>
      <w:r>
        <w:rPr>
          <w:rFonts w:hint="eastAsia" w:ascii="仿宋" w:hAnsi="仿宋" w:eastAsia="仿宋" w:cs="仿宋"/>
          <w:szCs w:val="21"/>
        </w:rPr>
        <w:t>2.本金及理财收益风险：本理财产品不保证本金及理财收益，理财收益来源于理财产品项下投资组合的回报，容易受到企业信用状况变化、市场利率变化、汇率变化、投资组合运作情况以及投资管理方投资能力等因素的影响，在最不利的情况下，理财产品收益率可能为零，并有可能损失本金，由此产生的风险由投资者自行承担。</w:t>
      </w:r>
    </w:p>
    <w:p>
      <w:pPr>
        <w:pStyle w:val="58b1f9d7"/>
        <w:spacing w:line="360" w:lineRule="auto"/>
        <w:ind w:firstLine="420" w:firstLineChars="200"/>
        <w:rPr>
          <w:rFonts w:hint="eastAsia" w:ascii="仿宋" w:hAnsi="仿宋" w:eastAsia="仿宋" w:cs="仿宋"/>
          <w:szCs w:val="21"/>
        </w:rPr>
      </w:pPr>
      <w:r>
        <w:rPr>
          <w:rFonts w:hint="eastAsia" w:ascii="仿宋" w:hAnsi="仿宋" w:eastAsia="仿宋" w:cs="仿宋"/>
          <w:szCs w:val="21"/>
        </w:rPr>
        <w:t>3.信用风险：如理财产品所投资的资产发行人、资产管理计划管理人、信托受托人、债务人、担保人（如有）等相关主体发生违约，可能导致无法按时支付理财本金及理财收益，进而导致理财产品收益为零甚至本金遭受损失。</w:t>
      </w:r>
    </w:p>
    <w:p>
      <w:pPr>
        <w:pStyle w:val="58b1f9d7"/>
        <w:spacing w:line="360" w:lineRule="auto"/>
        <w:ind w:firstLine="420" w:firstLineChars="200"/>
        <w:rPr>
          <w:rFonts w:hint="eastAsia" w:ascii="仿宋" w:hAnsi="仿宋" w:eastAsia="仿宋" w:cs="仿宋"/>
          <w:szCs w:val="21"/>
        </w:rPr>
      </w:pPr>
      <w:r>
        <w:rPr>
          <w:rFonts w:hint="eastAsia" w:ascii="仿宋" w:hAnsi="仿宋" w:eastAsia="仿宋" w:cs="仿宋"/>
          <w:szCs w:val="21"/>
        </w:rPr>
        <w:t>4.市场风险：本理财产品为非保本浮动收益净值型理财产品，不排除因资产价格、利率、信用、汇率以及国家政策等的变动导致理财产品净值遭受损失的可能。</w:t>
      </w:r>
    </w:p>
    <w:p>
      <w:pPr>
        <w:pStyle w:val="58b1f9d7"/>
        <w:spacing w:line="360" w:lineRule="auto"/>
        <w:ind w:firstLine="420" w:firstLineChars="200"/>
        <w:rPr>
          <w:rFonts w:hint="eastAsia" w:ascii="仿宋" w:hAnsi="仿宋" w:eastAsia="仿宋" w:cs="仿宋"/>
          <w:szCs w:val="21"/>
        </w:rPr>
      </w:pPr>
      <w:r>
        <w:rPr>
          <w:rFonts w:hint="eastAsia" w:ascii="仿宋" w:hAnsi="仿宋" w:eastAsia="仿宋" w:cs="仿宋"/>
          <w:szCs w:val="21"/>
        </w:rPr>
        <w:t>5.流动性风险：除非出现理财产品说明书约定的情况，投资者无权随时提前赎回或终止理财产品，可能导致投资者需要资金时不能随时变现，并可能丧失其他投资机会。</w:t>
      </w:r>
    </w:p>
    <w:p>
      <w:pPr>
        <w:pStyle w:val="58b1f9d7"/>
        <w:spacing w:line="360" w:lineRule="auto"/>
        <w:ind w:firstLine="420" w:firstLineChars="200"/>
        <w:rPr>
          <w:rFonts w:hint="eastAsia" w:ascii="仿宋" w:hAnsi="仿宋" w:eastAsia="仿宋" w:cs="仿宋"/>
          <w:szCs w:val="21"/>
        </w:rPr>
      </w:pPr>
      <w:r>
        <w:rPr>
          <w:rFonts w:hint="eastAsia" w:ascii="仿宋" w:hAnsi="仿宋" w:eastAsia="仿宋" w:cs="仿宋"/>
          <w:szCs w:val="21"/>
        </w:rPr>
        <w:t>6.投资风险：理财产品的实际收益率取决于所投资金融工具的收益率，投资者应对此有充分的认识。本风险揭示书中任何业绩基准、收益示例或类似表述均不具有法律约束力，不代表投资者可能获得的实际收益，亦不构成华夏理财/代销机构对理财产品的任何收益承诺。</w:t>
      </w:r>
    </w:p>
    <w:p>
      <w:pPr>
        <w:pStyle w:val="58b1f9d7"/>
        <w:spacing w:line="360" w:lineRule="auto"/>
        <w:ind w:firstLine="420" w:firstLineChars="200"/>
        <w:rPr>
          <w:rFonts w:hint="eastAsia" w:ascii="仿宋" w:hAnsi="仿宋" w:eastAsia="仿宋" w:cs="仿宋"/>
          <w:szCs w:val="21"/>
        </w:rPr>
      </w:pPr>
      <w:r>
        <w:rPr>
          <w:rFonts w:hint="eastAsia" w:ascii="仿宋" w:hAnsi="仿宋" w:eastAsia="仿宋" w:cs="仿宋"/>
          <w:szCs w:val="21"/>
        </w:rPr>
        <w:t>7.汇率风险：投资境外资产时，以非本币计价的各类资产受汇率波动影响而引起本币估值下的委托财产的价格波动的风险。若理财产品的投资及收益币种是人民币，在以人民币投资外汇计价资产时，除了投资资产本身的收益/损失外，汇率变化会带来额外的损失或收益，从而对投资者收益产生影响；反之亦然。</w:t>
      </w:r>
    </w:p>
    <w:p>
      <w:pPr>
        <w:pStyle w:val="58b1f9d7"/>
        <w:spacing w:line="360" w:lineRule="auto"/>
        <w:ind w:firstLine="420" w:firstLineChars="200"/>
        <w:rPr>
          <w:rFonts w:hint="eastAsia" w:ascii="仿宋" w:hAnsi="仿宋" w:eastAsia="仿宋" w:cs="仿宋"/>
          <w:szCs w:val="21"/>
        </w:rPr>
      </w:pPr>
      <w:r>
        <w:rPr>
          <w:rFonts w:hint="eastAsia" w:ascii="仿宋" w:hAnsi="仿宋" w:eastAsia="仿宋" w:cs="仿宋"/>
          <w:szCs w:val="21"/>
        </w:rPr>
        <w:t>8.法律及政策风险：理财产品是针对当前的相关法规和政策设计的。如国家宏观政策以及市场相关法规政策发生变化，可能影响理财产品的销售规则、投资运作和产品收益，甚至造成本金损失。</w:t>
      </w:r>
    </w:p>
    <w:p>
      <w:pPr>
        <w:pStyle w:val="58b1f9d7"/>
        <w:spacing w:line="360" w:lineRule="auto"/>
        <w:ind w:firstLine="420" w:firstLineChars="200"/>
        <w:rPr>
          <w:rFonts w:hint="eastAsia" w:ascii="仿宋" w:hAnsi="仿宋" w:eastAsia="仿宋" w:cs="仿宋"/>
          <w:szCs w:val="21"/>
        </w:rPr>
      </w:pPr>
      <w:r>
        <w:rPr>
          <w:rFonts w:hint="eastAsia" w:ascii="仿宋" w:hAnsi="仿宋" w:eastAsia="仿宋" w:cs="仿宋"/>
          <w:szCs w:val="21"/>
        </w:rPr>
        <w:t>9.理财产品不成立风险：募集期结束，如理财产品募集总金额未达到发行规模下限；或者市场发生重大变化</w:t>
      </w:r>
      <w:r>
        <w:rPr>
          <w:rFonts w:hint="eastAsia" w:ascii="仿宋" w:hAnsi="仿宋" w:eastAsia="仿宋"/>
          <w:b w:val="0"/>
          <w:bCs w:val="0"/>
          <w:szCs w:val="21"/>
          <w:lang w:eastAsia="zh-CN"/>
        </w:rPr>
        <w:t>、</w:t>
      </w:r>
      <w:r>
        <w:rPr>
          <w:rFonts w:hint="eastAsia" w:ascii="仿宋" w:hAnsi="仿宋" w:eastAsia="仿宋"/>
          <w:b w:val="0"/>
          <w:bCs w:val="0"/>
          <w:szCs w:val="21"/>
          <w:lang w:val="en-US" w:eastAsia="zh-CN"/>
        </w:rPr>
        <w:t>募集期内市场出现剧烈波动的</w:t>
      </w:r>
      <w:r>
        <w:rPr>
          <w:rFonts w:hint="eastAsia" w:ascii="仿宋" w:hAnsi="仿宋" w:eastAsia="仿宋" w:cs="仿宋"/>
          <w:szCs w:val="21"/>
        </w:rPr>
        <w:t>，华夏理财无法或者经其合理判断难以按照理财产品说明书向投资者提供理财产品；</w:t>
      </w:r>
      <w:r>
        <w:rPr>
          <w:rFonts w:hint="eastAsia" w:ascii="仿宋" w:hAnsi="仿宋" w:eastAsia="仿宋"/>
          <w:b w:val="0"/>
          <w:bCs w:val="0"/>
          <w:szCs w:val="21"/>
          <w:lang w:val="en-US" w:eastAsia="zh-CN"/>
        </w:rPr>
        <w:t>或其他非管理人的原因导致理财产品无法投资于理财产品合同所约定的投资范围；</w:t>
      </w:r>
      <w:r>
        <w:rPr>
          <w:rFonts w:hint="eastAsia" w:ascii="仿宋" w:hAnsi="仿宋" w:eastAsia="仿宋" w:cs="仿宋"/>
          <w:szCs w:val="21"/>
        </w:rPr>
        <w:t>或者法律法规、监管规定、国家政策发生变化导致无法按照理财产品说明书向投资者提供理财产品，</w:t>
      </w:r>
      <w:r>
        <w:rPr>
          <w:rFonts w:hint="eastAsia" w:ascii="仿宋" w:hAnsi="仿宋" w:eastAsia="仿宋"/>
          <w:b w:val="0"/>
          <w:bCs w:val="0"/>
          <w:szCs w:val="21"/>
          <w:lang w:val="en-US" w:eastAsia="zh-CN"/>
        </w:rPr>
        <w:t>或发生其他导致理财产品难以成立的原因的，经管理人谨慎合理判断难以按照理财产品合同约定向投资者提供本理财产品，</w:t>
      </w:r>
      <w:r>
        <w:rPr>
          <w:rFonts w:hint="eastAsia" w:ascii="仿宋" w:hAnsi="仿宋" w:eastAsia="仿宋" w:cs="仿宋"/>
          <w:szCs w:val="21"/>
        </w:rPr>
        <w:t>华夏理财有权宣布理财产品不成立。</w:t>
      </w:r>
    </w:p>
    <w:p>
      <w:pPr>
        <w:pStyle w:val="58b1f9d7"/>
        <w:spacing w:line="360" w:lineRule="auto"/>
        <w:ind w:firstLine="420" w:firstLineChars="200"/>
        <w:rPr>
          <w:rFonts w:hint="eastAsia" w:ascii="仿宋" w:hAnsi="仿宋" w:eastAsia="仿宋" w:cs="仿宋"/>
          <w:szCs w:val="21"/>
        </w:rPr>
      </w:pPr>
      <w:r>
        <w:rPr>
          <w:rFonts w:hint="eastAsia" w:ascii="仿宋" w:hAnsi="仿宋" w:eastAsia="仿宋" w:cs="仿宋"/>
          <w:szCs w:val="21"/>
        </w:rPr>
        <w:t>10.提前终止风险：如遇理财产品说明书的提前终止权条款约定的情形，华夏理财有权提前终止理财产品，投资者可能无法实现期初预计的收益、收益为零甚至损失理财本金。</w:t>
      </w:r>
    </w:p>
    <w:p>
      <w:pPr>
        <w:pStyle w:val="58b1f9d7"/>
        <w:spacing w:line="360" w:lineRule="auto"/>
        <w:ind w:firstLine="420" w:firstLineChars="200"/>
        <w:rPr>
          <w:rFonts w:hint="eastAsia" w:ascii="仿宋" w:hAnsi="仿宋" w:eastAsia="仿宋" w:cs="仿宋"/>
          <w:szCs w:val="21"/>
        </w:rPr>
      </w:pPr>
      <w:r>
        <w:rPr>
          <w:rFonts w:hint="eastAsia" w:ascii="仿宋" w:hAnsi="仿宋" w:eastAsia="仿宋" w:cs="仿宋"/>
          <w:szCs w:val="21"/>
        </w:rPr>
        <w:t>11.延期风险：如因理财产品投资的资产发行人、资产管理计划管理人、信托受托人、债务人、担保人（如有）等主体发生违约，导致理财产品不能按时偿付本金及理财收益；或因市场成交量不足、资产限制赎回、暂停交易、缺乏意愿交易对手等原因，管理人未能及时完成资产变现，则理财产品期限将相应延长。</w:t>
      </w:r>
    </w:p>
    <w:p>
      <w:pPr>
        <w:pStyle w:val="58b1f9d7"/>
        <w:spacing w:line="360" w:lineRule="auto"/>
        <w:ind w:firstLine="420" w:firstLineChars="200"/>
        <w:rPr>
          <w:rFonts w:hint="eastAsia" w:ascii="仿宋" w:hAnsi="仿宋" w:eastAsia="仿宋" w:cs="仿宋"/>
          <w:szCs w:val="21"/>
        </w:rPr>
      </w:pPr>
      <w:r>
        <w:rPr>
          <w:rFonts w:hint="eastAsia" w:ascii="仿宋" w:hAnsi="仿宋" w:eastAsia="仿宋" w:cs="仿宋"/>
          <w:szCs w:val="21"/>
        </w:rPr>
        <w:t>12.信息传递风险：华夏理财按照理财产品说明书有关信息披露的约定，发布理财产品的信息。投资者应根据信息披露的约定及时查询。如果投资者因未及时查询而未能及时了解理财产品信息，并由此影响投资者的投资决策，因此产生的责任和风险由投资者自行承担。另外，投资者预留在华夏理财/代销机构的有效联系方式变更的，应及时通知华夏理财/代销机构。因投资者未及时告知导致的信息传递风险由投资者自行承担。</w:t>
      </w:r>
    </w:p>
    <w:p>
      <w:pPr>
        <w:pStyle w:val="58b1f9d7"/>
        <w:spacing w:line="360" w:lineRule="auto"/>
        <w:ind w:firstLine="420" w:firstLineChars="200"/>
        <w:rPr>
          <w:rFonts w:hint="eastAsia" w:ascii="仿宋" w:hAnsi="仿宋" w:eastAsia="仿宋" w:cs="仿宋"/>
          <w:szCs w:val="21"/>
        </w:rPr>
      </w:pPr>
      <w:r>
        <w:rPr>
          <w:rFonts w:hint="eastAsia" w:ascii="仿宋" w:hAnsi="仿宋" w:eastAsia="仿宋" w:cs="仿宋"/>
          <w:szCs w:val="21"/>
        </w:rPr>
        <w:t>13.其他风险：指由于自然灾害、战争或国家政策变化等不能预见、不能避免、不能克服的不可抗力或非华夏理财原因发生的计算机系统故障、网络故障、通讯故障、电力故障等导致理财资产收益降低或损失，进而影响理财产品收益和本金安全。</w:t>
      </w:r>
    </w:p>
    <w:p>
      <w:pPr>
        <w:pStyle w:val="58b1f9d7"/>
        <w:spacing w:line="360" w:lineRule="auto"/>
        <w:ind w:firstLine="420" w:firstLineChars="200"/>
        <w:rPr>
          <w:rFonts w:hint="eastAsia" w:ascii="仿宋" w:hAnsi="仿宋" w:eastAsia="仿宋" w:cs="仿宋"/>
          <w:szCs w:val="21"/>
        </w:rPr>
      </w:pPr>
      <w:r>
        <w:rPr>
          <w:rFonts w:hint="eastAsia" w:ascii="仿宋" w:hAnsi="仿宋" w:eastAsia="仿宋" w:cs="仿宋"/>
          <w:szCs w:val="21"/>
          <w:lang w:val="en-US" w:eastAsia="zh-CN"/>
        </w:rPr>
        <w:t>本风险揭示书所揭示事项仅为列举性质，未能详尽列明投资者参与本理财产品所面临的的全部风险和可能导致投资者资产损失的全部因素。除上述风险外，包括但不限于理财产品说明书中的风险揭示内容（</w:t>
      </w:r>
      <w:r>
        <w:rPr>
          <w:rFonts w:hint="eastAsia" w:ascii="仿宋" w:hAnsi="仿宋" w:eastAsia="仿宋" w:cs="仿宋"/>
          <w:b/>
          <w:bCs/>
          <w:szCs w:val="21"/>
          <w:lang w:val="en-US" w:eastAsia="zh-CN"/>
        </w:rPr>
        <w:t>特别是</w:t>
      </w:r>
      <w:r>
        <w:rPr>
          <w:rFonts w:hint="eastAsia" w:ascii="仿宋" w:hAnsi="仿宋" w:eastAsia="仿宋" w:cs="仿宋"/>
          <w:b/>
        </w:rPr>
        <w:t>本产品特有风险说明</w:t>
      </w:r>
      <w:r>
        <w:rPr>
          <w:rFonts w:hint="eastAsia" w:ascii="仿宋" w:hAnsi="仿宋" w:eastAsia="仿宋" w:cs="仿宋"/>
          <w:szCs w:val="21"/>
          <w:lang w:val="en-US" w:eastAsia="zh-CN"/>
        </w:rPr>
        <w:t>），以及其他可能可能潜在的、目前无法预见的风险，从而对理财产品净值及投资者收益造成不利影响。</w:t>
      </w:r>
    </w:p>
    <w:p>
      <w:pPr>
        <w:pStyle w:val="58b1f9d7"/>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二、投资者提示</w:t>
      </w:r>
    </w:p>
    <w:p>
      <w:pPr>
        <w:pStyle w:val="58b1f9d7"/>
        <w:autoSpaceDE w:val="0"/>
        <w:autoSpaceDN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在购买本公司理财产品前，应仔细阅读理财产品销售文件的全部内容，其中理财产品销售文件包含本风险揭示书、理财产品投资协议书、</w:t>
      </w:r>
      <w:r>
        <w:rPr>
          <w:rFonts w:hint="eastAsia" w:ascii="仿宋" w:hAnsi="仿宋" w:eastAsia="仿宋" w:cs="仿宋"/>
          <w:color w:val="000000"/>
          <w:szCs w:val="21"/>
        </w:rPr>
        <w:t>销售（代理销售）协议书、理财产品说明书、投资者权益须知及后续对上述文件的有效修订及补充；销售机构提供的经投资者确认的交易申请单（如有）及回单（如有）为理财产品销售文件的有效构成</w:t>
      </w:r>
      <w:r>
        <w:rPr>
          <w:rFonts w:hint="eastAsia" w:ascii="仿宋" w:hAnsi="仿宋" w:eastAsia="仿宋" w:cs="仿宋"/>
          <w:szCs w:val="21"/>
        </w:rPr>
        <w:t>。请了解理财产品的所有相关情况，</w:t>
      </w:r>
      <w:r>
        <w:rPr>
          <w:rFonts w:hint="eastAsia" w:ascii="仿宋" w:hAnsi="仿宋" w:eastAsia="仿宋" w:cs="仿宋"/>
          <w:b/>
          <w:szCs w:val="21"/>
        </w:rPr>
        <w:t>尤其是理财产品说明书中的风险揭示内容</w:t>
      </w:r>
      <w:r>
        <w:rPr>
          <w:rFonts w:hint="eastAsia" w:ascii="仿宋" w:hAnsi="仿宋" w:eastAsia="仿宋" w:cs="仿宋"/>
          <w:szCs w:val="21"/>
        </w:rPr>
        <w:t>。此外，还应了解所购买理财产品的类型特点和存在的最不利投资情形：</w:t>
      </w:r>
    </w:p>
    <w:p>
      <w:pPr>
        <w:pStyle w:val="58b1f9d7"/>
        <w:spacing w:line="360" w:lineRule="auto"/>
        <w:ind w:firstLine="422" w:firstLineChars="200"/>
        <w:rPr>
          <w:rFonts w:hint="eastAsia" w:ascii="仿宋" w:hAnsi="仿宋" w:eastAsia="仿宋" w:cs="仿宋"/>
          <w:kern w:val="0"/>
          <w:szCs w:val="21"/>
        </w:rPr>
      </w:pPr>
      <w:r>
        <w:rPr>
          <w:rFonts w:hint="eastAsia" w:ascii="仿宋" w:hAnsi="仿宋" w:eastAsia="仿宋" w:cs="仿宋"/>
          <w:b/>
          <w:bCs/>
          <w:szCs w:val="21"/>
        </w:rPr>
        <w:t>1.产品特点确认：</w:t>
      </w:r>
      <w:r>
        <w:rPr>
          <w:rFonts w:hint="eastAsia" w:ascii="仿宋" w:hAnsi="仿宋" w:eastAsia="仿宋" w:cs="仿宋"/>
          <w:kern w:val="0"/>
          <w:szCs w:val="21"/>
        </w:rPr>
        <w:t>请您注意投资风险，仔细阅读理财产品销售文件，了解理财产品具体情况：</w:t>
      </w:r>
    </w:p>
    <w:p>
      <w:pPr>
        <w:pStyle w:val="58b1f9d7"/>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t>（1）确认已经了解产品的特点，包括收益类型、投资期限、风险要素、投资范围、适合投资者范围等；</w:t>
      </w:r>
    </w:p>
    <w:p>
      <w:pPr>
        <w:pStyle w:val="58b1f9d7"/>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t>（2）确认已经了解产品的业绩比较基准及募集/开放期购买、赎回、撤销交易申请、资金扣划及到账相关规则；</w:t>
      </w:r>
    </w:p>
    <w:p>
      <w:pPr>
        <w:pStyle w:val="58b1f9d7"/>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t>（3）确认已经了解产品流动性，包括产品是否允许客户撤销申请、是否允许客户提前赎回、管理人是否有权提前终止、产品交易日、交易时间、收益计算依据等要点。</w:t>
      </w:r>
    </w:p>
    <w:p>
      <w:pPr>
        <w:pStyle w:val="58b1f9d7"/>
        <w:spacing w:line="360" w:lineRule="auto"/>
        <w:ind w:firstLine="422" w:firstLineChars="200"/>
        <w:rPr>
          <w:rFonts w:hint="eastAsia" w:ascii="仿宋" w:hAnsi="仿宋" w:eastAsia="仿宋" w:cs="仿宋"/>
          <w:szCs w:val="21"/>
        </w:rPr>
      </w:pPr>
      <w:r>
        <w:rPr>
          <w:rFonts w:hint="eastAsia" w:ascii="仿宋" w:hAnsi="仿宋" w:eastAsia="仿宋" w:cs="仿宋"/>
          <w:b/>
          <w:bCs/>
          <w:kern w:val="0"/>
          <w:szCs w:val="21"/>
        </w:rPr>
        <w:t>2.</w:t>
      </w:r>
      <w:r>
        <w:rPr>
          <w:rFonts w:hint="eastAsia" w:ascii="仿宋" w:hAnsi="仿宋" w:eastAsia="仿宋" w:cs="仿宋"/>
          <w:b/>
          <w:bCs/>
          <w:szCs w:val="21"/>
        </w:rPr>
        <w:t>产品风险告知：</w:t>
      </w:r>
      <w:r>
        <w:rPr>
          <w:rFonts w:hint="eastAsia" w:ascii="仿宋" w:hAnsi="仿宋" w:eastAsia="仿宋" w:cs="仿宋"/>
          <w:szCs w:val="21"/>
        </w:rPr>
        <w:t>本理财产品为</w:t>
      </w:r>
      <w:r>
        <w:rPr>
          <w:rFonts w:hint="eastAsia" w:ascii="仿宋" w:hAnsi="仿宋" w:eastAsia="仿宋" w:cs="仿宋"/>
          <w:color w:val="000000"/>
          <w:szCs w:val="21"/>
          <w:u w:val="single"/>
        </w:rPr>
        <w:t xml:space="preserve">　 </w:t>
      </w:r>
      <w:r>
        <w:rPr>
          <w:rFonts w:hint="eastAsia" w:ascii="微软简仿宋" w:eastAsia="微软简仿宋"/>
          <w:color w:val="000000"/>
          <w:szCs w:val="21"/>
          <w:u w:val="single"/>
        </w:rPr>
        <w:t>净值型</w:t>
      </w:r>
      <w:r>
        <w:rPr>
          <w:rFonts w:hint="eastAsia" w:ascii="仿宋" w:hAnsi="仿宋" w:eastAsia="仿宋" w:cs="仿宋"/>
          <w:color w:val="000000"/>
          <w:szCs w:val="21"/>
          <w:u w:val="single"/>
        </w:rPr>
        <w:t xml:space="preserve">    </w:t>
      </w:r>
      <w:r>
        <w:rPr>
          <w:rFonts w:hint="eastAsia" w:ascii="仿宋" w:hAnsi="仿宋" w:eastAsia="仿宋" w:cs="仿宋"/>
          <w:kern w:val="0"/>
          <w:szCs w:val="21"/>
        </w:rPr>
        <w:t>，产品代码为</w:t>
      </w:r>
      <w:r>
        <w:rPr>
          <w:rFonts w:hint="eastAsia" w:ascii="仿宋" w:hAnsi="仿宋" w:eastAsia="仿宋" w:cs="仿宋"/>
          <w:color w:val="000000"/>
          <w:szCs w:val="21"/>
          <w:u w:val="single"/>
        </w:rPr>
        <w:t xml:space="preserve">　  </w:t>
      </w:r>
      <w:r>
        <w:rPr>
          <w:rFonts w:hint="eastAsia" w:ascii="微软简仿宋" w:eastAsia="微软简仿宋"/>
          <w:color w:val="000000"/>
          <w:szCs w:val="21"/>
          <w:u w:val="single"/>
        </w:rPr>
        <w:t>26111068H</w:t>
      </w:r>
      <w:r>
        <w:rPr>
          <w:rFonts w:hint="eastAsia" w:ascii="微软简仿宋" w:eastAsia="微软简仿宋"/>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，期限为</w:t>
      </w:r>
      <w:r>
        <w:rPr>
          <w:rFonts w:hint="eastAsia" w:ascii="仿宋" w:hAnsi="仿宋" w:eastAsia="仿宋" w:cs="仿宋"/>
          <w:color w:val="000000"/>
          <w:szCs w:val="21"/>
          <w:u w:val="single"/>
        </w:rPr>
        <w:t xml:space="preserve"> </w:t>
      </w:r>
      <w:r>
        <w:rPr>
          <w:rFonts w:hint="eastAsia" w:ascii="微软简仿宋" w:eastAsia="微软简仿宋"/>
          <w:color w:val="000000"/>
          <w:szCs w:val="21"/>
          <w:u w:val="single"/>
        </w:rPr>
        <w:t>181天</w:t>
      </w:r>
      <w:r>
        <w:rPr>
          <w:rFonts w:hint="eastAsia" w:ascii="微软简仿宋" w:eastAsia="微软简仿宋"/>
          <w:color w:val="000000"/>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，具体信息详见产品说明书，风</w:t>
      </w:r>
      <w:r>
        <w:rPr>
          <w:rFonts w:hint="eastAsia" w:ascii="仿宋" w:hAnsi="仿宋" w:eastAsia="仿宋" w:cs="仿宋"/>
          <w:kern w:val="0"/>
          <w:szCs w:val="21"/>
        </w:rPr>
        <w:t>险评级为</w:t>
      </w:r>
      <w:r>
        <w:rPr>
          <w:rFonts w:hint="eastAsia" w:ascii="仿宋" w:hAnsi="仿宋" w:eastAsia="仿宋" w:cs="仿宋"/>
          <w:color w:val="000000"/>
          <w:szCs w:val="21"/>
          <w:u w:val="single"/>
        </w:rPr>
        <w:t>　</w:t>
      </w:r>
      <w:r>
        <w:rPr>
          <w:rFonts w:hint="eastAsia" w:ascii="微软简仿宋" w:eastAsia="微软简仿宋"/>
          <w:color w:val="000000"/>
          <w:szCs w:val="21"/>
          <w:u w:val="single"/>
        </w:rPr>
        <w:t>PR2级（中低风险）</w:t>
      </w:r>
      <w:r>
        <w:rPr>
          <w:rFonts w:hint="eastAsia" w:ascii="微软简仿宋" w:hAnsi="宋体" w:eastAsia="微软简仿宋" w:cs="宋体"/>
          <w:kern w:val="0"/>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kern w:val="0"/>
          <w:szCs w:val="21"/>
        </w:rPr>
        <w:t>，</w:t>
      </w:r>
      <w:r>
        <w:rPr>
          <w:rFonts w:hint="eastAsia" w:ascii="仿宋" w:hAnsi="仿宋" w:eastAsia="仿宋" w:cs="仿宋"/>
          <w:color w:val="000000"/>
          <w:szCs w:val="21"/>
        </w:rPr>
        <w:t>发行方式</w:t>
      </w:r>
      <w:r>
        <w:rPr>
          <w:rFonts w:hint="eastAsia" w:ascii="仿宋" w:hAnsi="仿宋" w:eastAsia="仿宋" w:cs="仿宋"/>
          <w:kern w:val="0"/>
          <w:szCs w:val="21"/>
        </w:rPr>
        <w:t>为</w:t>
      </w:r>
      <w:r>
        <w:rPr>
          <w:rFonts w:hint="eastAsia" w:ascii="仿宋" w:hAnsi="仿宋" w:eastAsia="仿宋" w:cs="仿宋"/>
          <w:color w:val="000000"/>
          <w:szCs w:val="21"/>
          <w:u w:val="single"/>
        </w:rPr>
        <w:t xml:space="preserve">  </w:t>
      </w:r>
      <w:r>
        <w:rPr>
          <w:rFonts w:hint="eastAsia" w:ascii="宋体" w:hAnsi="宋体" w:cs="宋体"/>
          <w:color w:val="000000"/>
          <w:szCs w:val="21"/>
          <w:u w:val="single"/>
        </w:rPr>
        <w:t>公募</w:t>
      </w:r>
      <w:r>
        <w:rPr>
          <w:rFonts w:hint="eastAsia" w:ascii="微软简仿宋" w:eastAsia="微软简仿宋"/>
          <w:color w:val="000000"/>
          <w:szCs w:val="21"/>
        </w:rPr>
        <w:t/>
      </w:r>
      <w:r>
        <w:rPr>
          <w:rFonts w:hint="eastAsia" w:ascii="宋体" w:hAnsi="宋体" w:cs="宋体"/>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w:t>
      </w:r>
      <w:r>
        <w:rPr>
          <w:rFonts w:hint="eastAsia" w:ascii="仿宋" w:hAnsi="仿宋" w:eastAsia="仿宋" w:cs="仿宋"/>
          <w:kern w:val="0"/>
          <w:szCs w:val="21"/>
        </w:rPr>
        <w:t>适合</w:t>
      </w:r>
      <w:r>
        <w:rPr>
          <w:rFonts w:hint="eastAsia" w:ascii="仿宋" w:hAnsi="仿宋" w:eastAsia="仿宋" w:cs="仿宋"/>
          <w:bCs/>
          <w:szCs w:val="21"/>
        </w:rPr>
        <w:t>□</w:t>
      </w:r>
      <w:r>
        <w:rPr>
          <w:rFonts w:hint="eastAsia" w:ascii="仿宋" w:hAnsi="仿宋" w:eastAsia="仿宋" w:cs="仿宋"/>
          <w:kern w:val="0"/>
          <w:szCs w:val="21"/>
        </w:rPr>
        <w:t>风险评估评定为</w:t>
      </w:r>
      <w:r>
        <w:rPr>
          <w:rFonts w:hint="eastAsia" w:ascii="微软简仿宋" w:eastAsia="微软简仿宋"/>
          <w:color w:val="000000"/>
          <w:szCs w:val="21"/>
          <w:u w:val="single"/>
        </w:rPr>
        <w:t>CR2（稳健型）, CR3（平衡型）, CR4（进取型）, CR5（激进型）</w:t>
      </w:r>
      <w:r>
        <w:rPr>
          <w:rFonts w:hint="eastAsia" w:ascii="微软简仿宋" w:eastAsia="微软简仿宋"/>
          <w:color w:val="000000"/>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kern w:val="0"/>
          <w:szCs w:val="21"/>
        </w:rPr>
        <w:t>普通投资者、</w:t>
      </w:r>
      <w:r>
        <w:rPr>
          <w:rFonts w:hint="eastAsia" w:ascii="仿宋" w:hAnsi="仿宋" w:eastAsia="仿宋" w:cs="仿宋"/>
          <w:bCs/>
          <w:szCs w:val="21"/>
        </w:rPr>
        <w:t>□</w:t>
      </w:r>
      <w:r>
        <w:rPr>
          <w:rFonts w:hint="eastAsia" w:ascii="仿宋" w:hAnsi="仿宋" w:eastAsia="仿宋" w:cs="仿宋"/>
          <w:kern w:val="0"/>
          <w:szCs w:val="21"/>
        </w:rPr>
        <w:t>专业投资者（如需进行风险承受能力评估，风险评估应评定为</w:t>
      </w:r>
      <w:r>
        <w:rPr>
          <w:rFonts w:hint="eastAsia" w:ascii="仿宋" w:hAnsi="仿宋" w:eastAsia="仿宋" w:cs="仿宋"/>
          <w:color w:val="000000"/>
          <w:szCs w:val="21"/>
          <w:u w:val="single"/>
        </w:rPr>
        <w:t>　</w:t>
      </w:r>
      <w:r>
        <w:rPr>
          <w:rFonts w:hint="eastAsia" w:ascii="微软简仿宋" w:eastAsia="微软简仿宋"/>
          <w:color w:val="000000"/>
          <w:szCs w:val="21"/>
          <w:u w:val="single"/>
        </w:rPr>
        <w:t>CR2（稳健型）, CR3（平衡型）, CR4（进取型）, CR5（激进型）</w:t>
      </w:r>
      <w:r>
        <w:rPr>
          <w:rFonts w:hint="eastAsia" w:ascii="微软简仿宋" w:eastAsia="微软简仿宋"/>
          <w:color w:val="000000"/>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kern w:val="0"/>
          <w:szCs w:val="21"/>
        </w:rPr>
        <w:t>）。</w:t>
      </w:r>
      <w:r>
        <w:rPr>
          <w:rFonts w:hint="eastAsia" w:ascii="仿宋" w:hAnsi="仿宋" w:eastAsia="仿宋"/>
          <w:b/>
          <w:szCs w:val="21"/>
        </w:rPr>
        <w:t>本理财产品存续期内，产品风险评级可能会根据市场变化调整。</w:t>
      </w:r>
    </w:p>
    <w:p>
      <w:pPr>
        <w:pStyle w:val="58b1f9d7"/>
        <w:spacing w:line="360" w:lineRule="auto"/>
        <w:ind w:firstLine="420" w:firstLineChars="200"/>
        <w:rPr>
          <w:rFonts w:hint="eastAsia" w:ascii="仿宋" w:hAnsi="仿宋" w:eastAsia="仿宋" w:cs="仿宋"/>
          <w:szCs w:val="21"/>
        </w:rPr>
      </w:pPr>
      <w:r>
        <w:rPr>
          <w:rFonts w:hint="eastAsia" w:ascii="仿宋" w:hAnsi="仿宋" w:eastAsia="仿宋" w:cs="仿宋"/>
          <w:kern w:val="0"/>
          <w:szCs w:val="21"/>
        </w:rPr>
        <w:t>示例：假设投资者投资本金为10,000元人民币，</w:t>
      </w:r>
      <w:r>
        <w:rPr>
          <w:rFonts w:hint="eastAsia" w:ascii="仿宋" w:hAnsi="仿宋" w:eastAsia="仿宋" w:cs="仿宋"/>
          <w:b/>
          <w:kern w:val="0"/>
          <w:szCs w:val="21"/>
        </w:rPr>
        <w:t>最不利投资情形</w:t>
      </w:r>
      <w:r>
        <w:rPr>
          <w:rFonts w:hint="eastAsia" w:ascii="仿宋" w:hAnsi="仿宋" w:eastAsia="仿宋" w:cs="仿宋"/>
          <w:kern w:val="0"/>
          <w:szCs w:val="21"/>
        </w:rPr>
        <w:t>下</w:t>
      </w:r>
      <w:r>
        <w:rPr>
          <w:rFonts w:hint="eastAsia" w:ascii="仿宋" w:hAnsi="仿宋" w:eastAsia="仿宋" w:cs="仿宋"/>
          <w:szCs w:val="21"/>
        </w:rPr>
        <w:t>将无法获得理财收益，甚至损失全部理财本金。</w:t>
      </w:r>
    </w:p>
    <w:p>
      <w:pPr>
        <w:pStyle w:val="58b1f9d7"/>
        <w:spacing w:line="360" w:lineRule="auto"/>
        <w:ind w:firstLine="422" w:firstLineChars="200"/>
        <w:rPr>
          <w:rFonts w:hint="eastAsia" w:ascii="仿宋" w:hAnsi="仿宋" w:eastAsia="仿宋" w:cs="仿宋"/>
          <w:szCs w:val="21"/>
        </w:rPr>
      </w:pPr>
      <w:r>
        <w:rPr>
          <w:rFonts w:hint="eastAsia" w:ascii="仿宋" w:hAnsi="仿宋" w:eastAsia="仿宋" w:cs="仿宋"/>
          <w:b/>
          <w:kern w:val="0"/>
          <w:szCs w:val="21"/>
        </w:rPr>
        <w:t>理财产品有投资风险，不保证理财本金和理财收益，您应当充分认识投资风险，谨慎投资。</w:t>
      </w:r>
      <w:r>
        <w:rPr>
          <w:rFonts w:hint="eastAsia" w:ascii="仿宋" w:hAnsi="仿宋" w:eastAsia="仿宋" w:cs="仿宋"/>
          <w:szCs w:val="21"/>
        </w:rPr>
        <w:t>各风险等级</w:t>
      </w:r>
      <w:r>
        <w:rPr>
          <w:rFonts w:hint="eastAsia" w:ascii="仿宋" w:hAnsi="仿宋" w:eastAsia="仿宋" w:cs="仿宋"/>
          <w:kern w:val="0"/>
          <w:szCs w:val="21"/>
        </w:rPr>
        <w:t>理财</w:t>
      </w:r>
      <w:r>
        <w:rPr>
          <w:rFonts w:hint="eastAsia" w:ascii="仿宋" w:hAnsi="仿宋" w:eastAsia="仿宋" w:cs="仿宋"/>
          <w:szCs w:val="21"/>
        </w:rPr>
        <w:t>产品的风险水平告知如下（产品风险等级为内部评级，仅供参考）：</w:t>
      </w:r>
    </w:p>
    <w:tbl>
      <w:tblPr>
        <w:tblStyle w:val="ebaed66f"/>
        <w:tblW w:w="0" w:type="auto"/>
        <w:jc w:val="center"/>
        <w:tblLayout w:type="fixed"/>
        <w:tblCellMar>
          <w:top w:w="0" w:type="dxa"/>
          <w:left w:w="108" w:type="dxa"/>
          <w:bottom w:w="0" w:type="dxa"/>
          <w:right w:w="108" w:type="dxa"/>
        </w:tblCellMar>
      </w:tblPr>
      <w:tblGrid>
        <w:gridCol w:w="1289"/>
        <w:gridCol w:w="1276"/>
        <w:gridCol w:w="5570"/>
      </w:tblGrid>
      <w:tr>
        <w:tblPrEx>
          <w:tblCellMar>
            <w:top w:w="0" w:type="dxa"/>
            <w:left w:w="108" w:type="dxa"/>
            <w:bottom w:w="0" w:type="dxa"/>
            <w:right w:w="108" w:type="dxa"/>
          </w:tblCellMar>
        </w:tblPrEx>
        <w:trPr>
          <w:trHeight w:val="375" w:hRule="atLeast"/>
          <w:tblHeader/>
          <w:jc w:val="center"/>
        </w:trPr>
        <w:tc>
          <w:tcPr>
            <w:tcW w:w="1289"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Cs w:val="21"/>
              </w:rPr>
            </w:pPr>
            <w:r>
              <w:rPr>
                <w:rFonts w:hint="eastAsia" w:ascii="仿宋" w:hAnsi="仿宋" w:eastAsia="仿宋" w:cs="仿宋"/>
                <w:b/>
                <w:bCs/>
                <w:color w:val="000000"/>
                <w:kern w:val="0"/>
                <w:szCs w:val="21"/>
              </w:rPr>
              <w:t>风险等级</w:t>
            </w:r>
          </w:p>
        </w:tc>
        <w:tc>
          <w:tcPr>
            <w:tcW w:w="1276" w:type="dxa"/>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Cs w:val="21"/>
              </w:rPr>
            </w:pPr>
            <w:r>
              <w:rPr>
                <w:rFonts w:hint="eastAsia" w:ascii="仿宋" w:hAnsi="仿宋" w:eastAsia="仿宋" w:cs="仿宋"/>
                <w:b/>
                <w:bCs/>
                <w:color w:val="000000"/>
                <w:kern w:val="0"/>
                <w:szCs w:val="21"/>
              </w:rPr>
              <w:t>风险水平</w:t>
            </w:r>
          </w:p>
        </w:tc>
        <w:tc>
          <w:tcPr>
            <w:tcW w:w="5570" w:type="dxa"/>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Cs w:val="21"/>
              </w:rPr>
            </w:pPr>
            <w:r>
              <w:rPr>
                <w:rFonts w:hint="eastAsia" w:ascii="仿宋" w:hAnsi="仿宋" w:eastAsia="仿宋" w:cs="仿宋"/>
                <w:b/>
                <w:bCs/>
                <w:color w:val="000000"/>
                <w:kern w:val="0"/>
                <w:szCs w:val="21"/>
              </w:rPr>
              <w:t>风险说明</w:t>
            </w:r>
          </w:p>
        </w:tc>
      </w:tr>
      <w:tr>
        <w:tblPrEx>
          <w:tblCellMar>
            <w:top w:w="0" w:type="dxa"/>
            <w:left w:w="108" w:type="dxa"/>
            <w:bottom w:w="0" w:type="dxa"/>
            <w:right w:w="108" w:type="dxa"/>
          </w:tblCellMar>
        </w:tblPrEx>
        <w:trPr>
          <w:trHeight w:val="409"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PR1级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很低</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产品不保障本金。产品结构简单，业绩及净值的波动率低，投资标的流动性很好，本金损失概率很低。</w:t>
            </w:r>
          </w:p>
        </w:tc>
      </w:tr>
      <w:tr>
        <w:tblPrEx>
          <w:tblCellMar>
            <w:top w:w="0" w:type="dxa"/>
            <w:left w:w="108" w:type="dxa"/>
            <w:bottom w:w="0" w:type="dxa"/>
            <w:right w:w="108" w:type="dxa"/>
          </w:tblCellMar>
        </w:tblPrEx>
        <w:trPr>
          <w:trHeight w:val="402"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PR2级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较低</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产品不保障本金。产品结构较简单，业绩及净值的波动率较低，投资标的流动性好，本金损失概率较低。</w:t>
            </w:r>
          </w:p>
        </w:tc>
      </w:tr>
      <w:tr>
        <w:tblPrEx>
          <w:tblCellMar>
            <w:top w:w="0" w:type="dxa"/>
            <w:left w:w="108" w:type="dxa"/>
            <w:bottom w:w="0" w:type="dxa"/>
            <w:right w:w="108" w:type="dxa"/>
          </w:tblCellMar>
        </w:tblPrEx>
        <w:trPr>
          <w:trHeight w:val="436"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PR3级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适中</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产品不保障本金。产品结构一般，业绩及净值的波动率较高，投资标的流动性较好，本金存在一定的损失概率。</w:t>
            </w:r>
          </w:p>
        </w:tc>
      </w:tr>
      <w:tr>
        <w:tblPrEx>
          <w:tblCellMar>
            <w:top w:w="0" w:type="dxa"/>
            <w:left w:w="108" w:type="dxa"/>
            <w:bottom w:w="0" w:type="dxa"/>
            <w:right w:w="108" w:type="dxa"/>
          </w:tblCellMar>
        </w:tblPrEx>
        <w:trPr>
          <w:trHeight w:val="643"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PR4级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较高</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产品不保障本金。产品结构较复杂，业绩及净值的波动率高，投资标的流动性较差，本金损失的概率较高。</w:t>
            </w:r>
          </w:p>
        </w:tc>
      </w:tr>
      <w:tr>
        <w:tblPrEx>
          <w:tblCellMar>
            <w:top w:w="0" w:type="dxa"/>
            <w:left w:w="108" w:type="dxa"/>
            <w:bottom w:w="0" w:type="dxa"/>
            <w:right w:w="108" w:type="dxa"/>
          </w:tblCellMar>
        </w:tblPrEx>
        <w:trPr>
          <w:trHeight w:val="646"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PR5级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高</w:t>
            </w:r>
          </w:p>
        </w:tc>
        <w:tc>
          <w:tcPr>
            <w:tcW w:w="5570" w:type="dxa"/>
            <w:tcBorders>
              <w:top w:val="nil"/>
              <w:left w:val="nil"/>
              <w:bottom w:val="single" w:color="auto" w:sz="4" w:space="0"/>
              <w:right w:val="single" w:color="auto" w:sz="4" w:space="0"/>
            </w:tcBorders>
            <w:noWrap w:val="0"/>
            <w:vAlign w:val="center"/>
          </w:tcPr>
          <w:p>
            <w:pPr>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产品不保障本金。产品结构复杂，业绩及净值的波动率很高，投资标的流动性差，本金损失概率高。</w:t>
            </w:r>
          </w:p>
        </w:tc>
      </w:tr>
    </w:tbl>
    <w:p>
      <w:pPr>
        <w:pStyle w:val="58b1f9d7"/>
        <w:spacing w:line="360" w:lineRule="auto"/>
        <w:ind w:firstLine="420" w:firstLineChars="200"/>
        <w:rPr>
          <w:rFonts w:hint="eastAsia" w:ascii="仿宋" w:hAnsi="仿宋" w:eastAsia="仿宋" w:cs="仿宋"/>
          <w:szCs w:val="21"/>
        </w:rPr>
      </w:pPr>
      <w:r>
        <w:rPr>
          <w:rFonts w:hint="eastAsia" w:ascii="仿宋" w:hAnsi="仿宋" w:eastAsia="仿宋" w:cs="仿宋"/>
          <w:kern w:val="0"/>
          <w:szCs w:val="21"/>
        </w:rPr>
        <w:t>您的风险承受能力评估结果为</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（适用于普通投资者和华夏理财/代销机构认为需要进行风险承受能力评估的专业投资者）</w:t>
      </w:r>
      <w:r>
        <w:rPr>
          <w:rFonts w:hint="eastAsia" w:ascii="仿宋" w:hAnsi="仿宋" w:eastAsia="仿宋" w:cs="仿宋"/>
          <w:kern w:val="0"/>
          <w:szCs w:val="21"/>
        </w:rPr>
        <w:t>，</w:t>
      </w:r>
      <w:r>
        <w:rPr>
          <w:rFonts w:hint="eastAsia" w:ascii="仿宋" w:hAnsi="仿宋" w:eastAsia="仿宋" w:cs="仿宋"/>
          <w:b/>
          <w:bCs/>
          <w:kern w:val="0"/>
          <w:szCs w:val="21"/>
        </w:rPr>
        <w:t>如影响您风险承受能力的因素发生变化，请及时完成风险承受能力评估</w:t>
      </w:r>
      <w:r>
        <w:rPr>
          <w:rFonts w:hint="eastAsia" w:ascii="仿宋" w:hAnsi="仿宋" w:eastAsia="仿宋" w:cs="仿宋"/>
          <w:kern w:val="0"/>
          <w:szCs w:val="21"/>
        </w:rPr>
        <w:t>。</w:t>
      </w:r>
    </w:p>
    <w:p>
      <w:pPr>
        <w:pStyle w:val="58b1f9d7"/>
        <w:spacing w:line="360" w:lineRule="auto"/>
        <w:ind w:firstLine="422" w:firstLineChars="200"/>
        <w:rPr>
          <w:rFonts w:hint="eastAsia" w:ascii="仿宋" w:hAnsi="仿宋" w:eastAsia="仿宋" w:cs="仿宋"/>
          <w:b/>
          <w:szCs w:val="21"/>
        </w:rPr>
      </w:pPr>
      <w:r>
        <w:rPr>
          <w:rFonts w:hint="eastAsia" w:ascii="仿宋" w:hAnsi="仿宋" w:eastAsia="仿宋" w:cs="仿宋"/>
          <w:b/>
          <w:bCs/>
          <w:szCs w:val="21"/>
        </w:rPr>
        <w:t>3.独立投资决定：</w:t>
      </w:r>
      <w:r>
        <w:rPr>
          <w:rFonts w:hint="eastAsia" w:ascii="仿宋" w:hAnsi="仿宋" w:eastAsia="仿宋" w:cs="仿宋"/>
          <w:kern w:val="0"/>
          <w:szCs w:val="21"/>
        </w:rPr>
        <w:t>华夏理财及</w:t>
      </w:r>
      <w:r>
        <w:rPr>
          <w:rFonts w:hint="eastAsia" w:ascii="仿宋" w:hAnsi="仿宋" w:eastAsia="仿宋" w:cs="仿宋"/>
          <w:szCs w:val="21"/>
        </w:rPr>
        <w:t>代销机构仅提供产品</w:t>
      </w:r>
      <w:r>
        <w:rPr>
          <w:rFonts w:hint="eastAsia" w:ascii="仿宋" w:hAnsi="仿宋" w:eastAsia="仿宋" w:cs="仿宋"/>
          <w:kern w:val="0"/>
          <w:szCs w:val="21"/>
        </w:rPr>
        <w:t>信息和投资建议，请您确定本次购买是自行判断并独立做出的投资决定，</w:t>
      </w:r>
      <w:r>
        <w:rPr>
          <w:rFonts w:hint="eastAsia" w:ascii="仿宋" w:hAnsi="仿宋" w:eastAsia="仿宋" w:cs="仿宋"/>
          <w:szCs w:val="21"/>
        </w:rPr>
        <w:t>将资金委托给产品管理人运作是</w:t>
      </w:r>
      <w:r>
        <w:rPr>
          <w:rFonts w:hint="eastAsia" w:ascii="仿宋" w:hAnsi="仿宋" w:eastAsia="仿宋" w:cs="仿宋"/>
          <w:kern w:val="0"/>
          <w:szCs w:val="21"/>
        </w:rPr>
        <w:t>您</w:t>
      </w:r>
      <w:r>
        <w:rPr>
          <w:rFonts w:hint="eastAsia" w:ascii="仿宋" w:hAnsi="仿宋" w:eastAsia="仿宋" w:cs="仿宋"/>
          <w:szCs w:val="21"/>
        </w:rPr>
        <w:t>真实的意思表示</w:t>
      </w:r>
      <w:r>
        <w:rPr>
          <w:rFonts w:hint="eastAsia" w:ascii="仿宋" w:hAnsi="仿宋" w:eastAsia="仿宋" w:cs="仿宋"/>
          <w:kern w:val="0"/>
          <w:szCs w:val="21"/>
        </w:rPr>
        <w:t>。</w:t>
      </w:r>
    </w:p>
    <w:p>
      <w:pPr>
        <w:pStyle w:val="60b97aa7"/>
        <w:spacing w:line="360" w:lineRule="auto"/>
        <w:ind w:firstLine="0"/>
        <w:rPr>
          <w:rFonts w:hint="eastAsia" w:ascii="仿宋" w:hAnsi="仿宋" w:eastAsia="仿宋" w:cs="仿宋"/>
          <w:b/>
          <w:sz w:val="21"/>
          <w:szCs w:val="21"/>
        </w:rPr>
      </w:pPr>
    </w:p>
    <w:p>
      <w:pPr>
        <w:pStyle w:val="58b1f9d7"/>
        <w:spacing w:line="360" w:lineRule="auto"/>
        <w:jc w:val="right"/>
        <w:rPr>
          <w:rFonts w:hint="eastAsia" w:ascii="仿宋" w:hAnsi="仿宋" w:eastAsia="仿宋" w:cs="仿宋"/>
          <w:b/>
          <w:szCs w:val="21"/>
        </w:rPr>
      </w:pPr>
      <w:r>
        <w:rPr>
          <w:rFonts w:hint="eastAsia" w:ascii="仿宋" w:hAnsi="仿宋" w:eastAsia="仿宋" w:cs="仿宋"/>
          <w:b/>
          <w:szCs w:val="21"/>
        </w:rPr>
        <w:t>风险揭示方：华夏理财有限责任公司</w:t>
      </w:r>
    </w:p>
    <w:p>
      <w:pPr>
        <w:pStyle w:val="58b1f9d7"/>
        <w:spacing w:line="360" w:lineRule="auto"/>
        <w:ind w:right="420" w:firstLine="1240" w:firstLineChars="588"/>
        <w:jc w:val="right"/>
        <w:rPr>
          <w:rFonts w:hint="eastAsia" w:ascii="仿宋" w:hAnsi="仿宋" w:eastAsia="仿宋" w:cs="仿宋"/>
          <w:b/>
          <w:szCs w:val="21"/>
        </w:rPr>
      </w:pPr>
    </w:p>
    <w:p>
      <w:pPr>
        <w:pStyle w:val="58b1f9d7"/>
        <w:spacing w:line="360" w:lineRule="auto"/>
        <w:ind w:right="420" w:firstLine="1240" w:firstLineChars="588"/>
        <w:jc w:val="right"/>
        <w:rPr>
          <w:rFonts w:hint="eastAsia" w:ascii="仿宋" w:hAnsi="仿宋" w:eastAsia="仿宋" w:cs="仿宋"/>
          <w:b/>
          <w:szCs w:val="21"/>
        </w:rPr>
      </w:pPr>
    </w:p>
    <w:p>
      <w:pPr>
        <w:pStyle w:val="58b1f9d7"/>
        <w:spacing w:line="360" w:lineRule="auto"/>
        <w:jc w:val="center"/>
        <w:rPr>
          <w:rFonts w:hint="eastAsia" w:ascii="方正小标宋_GBK" w:hAnsi="方正小标宋_GBK" w:eastAsia="方正小标宋_GBK" w:cs="方正小标宋_GBK"/>
          <w:sz w:val="28"/>
          <w:szCs w:val="28"/>
        </w:rPr>
      </w:pPr>
      <w:r>
        <w:rPr>
          <w:rFonts w:hint="eastAsia" w:ascii="方正小标宋_GBK" w:hAnsi="方正小标宋_GBK" w:eastAsia="方正小标宋_GBK" w:cs="方正小标宋_GBK"/>
          <w:sz w:val="28"/>
          <w:szCs w:val="28"/>
        </w:rPr>
        <w:t>客户风险确认栏</w:t>
      </w:r>
    </w:p>
    <w:p>
      <w:pPr>
        <w:pStyle w:val="58b1f9d7"/>
        <w:spacing w:line="360" w:lineRule="auto"/>
        <w:ind w:firstLine="420" w:firstLineChars="200"/>
        <w:rPr>
          <w:rFonts w:hint="eastAsia" w:ascii="仿宋" w:hAnsi="仿宋" w:eastAsia="仿宋" w:cs="仿宋"/>
          <w:szCs w:val="21"/>
        </w:rPr>
      </w:pPr>
      <w:r>
        <w:rPr>
          <w:rFonts w:hint="eastAsia" w:ascii="仿宋" w:hAnsi="仿宋" w:eastAsia="仿宋" w:cs="仿宋"/>
          <w:szCs w:val="21"/>
        </w:rPr>
        <w:t>本人/本机构收到并详细阅读了理财产品说明书、投资协议书、销售（代理销售）协议书、风险揭示书和投资者权益须知等销售文件，产品销售人员已根据文件内容，清楚解释有关产品的特点、投资风险和最不利的投资情形，本人/本机构已清楚了解产品的特点和理财风险，独立做出投资决策。</w:t>
      </w:r>
    </w:p>
    <w:p>
      <w:pPr>
        <w:pStyle w:val="58b1f9d7"/>
        <w:spacing w:line="360" w:lineRule="auto"/>
        <w:ind w:firstLine="420" w:firstLineChars="200"/>
        <w:rPr>
          <w:rFonts w:hint="eastAsia" w:ascii="仿宋" w:hAnsi="仿宋" w:eastAsia="仿宋" w:cs="仿宋"/>
          <w:szCs w:val="21"/>
        </w:rPr>
      </w:pPr>
      <w:r>
        <w:rPr>
          <w:rFonts w:hint="eastAsia" w:ascii="仿宋" w:hAnsi="仿宋" w:eastAsia="仿宋" w:cs="仿宋"/>
          <w:szCs w:val="21"/>
        </w:rPr>
        <w:t>本人/本机构承诺投资理财产品使用的资金为自有资金或合法募集的资金，来源合法合规，不存在使用贷款、发行债券等募集的非自有资金投资理财产品的情形（合法募集资金除外），并且系为合法之目的投资本理财产品，而非为洗钱等违法犯罪之目的，本人/本机构将配合华夏理财、代销机构开展客户身份识别、尽职调查等反洗钱活动及其他法律法规规定事项，及时、真实、准确、完整提供本人/本机构身份及资金来源等信息，并同意华夏理财、代销机构根据法律法规或监管规定、销售文件约定使用本人/本机构提供的相关信息。</w:t>
      </w:r>
    </w:p>
    <w:p>
      <w:pPr>
        <w:pStyle w:val="58b1f9d7"/>
        <w:spacing w:line="360" w:lineRule="auto"/>
        <w:ind w:firstLine="420" w:firstLineChars="200"/>
        <w:rPr>
          <w:rFonts w:hint="eastAsia" w:ascii="仿宋" w:hAnsi="仿宋" w:eastAsia="仿宋" w:cs="仿宋"/>
          <w:szCs w:val="21"/>
        </w:rPr>
      </w:pPr>
      <w:r>
        <w:rPr>
          <w:rFonts w:hint="eastAsia" w:ascii="仿宋" w:hAnsi="仿宋" w:eastAsia="仿宋" w:cs="仿宋"/>
          <w:bCs/>
          <w:szCs w:val="21"/>
        </w:rPr>
        <w:t>□本人/</w:t>
      </w:r>
      <w:r>
        <w:rPr>
          <w:rFonts w:hint="eastAsia" w:ascii="仿宋" w:hAnsi="仿宋" w:eastAsia="仿宋" w:cs="仿宋"/>
          <w:szCs w:val="21"/>
        </w:rPr>
        <w:t>本机构知悉并确认本理财产品的代销机构、托管机构可能包含华夏银行股份有限公司，其为华夏理财的控股股东，二者存在关联关系。如因关联关系导致代销机构对本理财产品未能进行独立、审慎判断或放松准入管理，可能存在代销机构未能独立、尽责的风险。</w:t>
      </w:r>
    </w:p>
    <w:tbl>
      <w:tblPr>
        <w:tblStyle w:val="ebaed66f"/>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5"/>
        <w:gridCol w:w="8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855" w:type="dxa"/>
            <w:noWrap w:val="0"/>
            <w:vAlign w:val="center"/>
          </w:tcPr>
          <w:p>
            <w:pPr>
              <w:spacing w:line="360" w:lineRule="auto"/>
              <w:jc w:val="center"/>
              <w:rPr>
                <w:rFonts w:ascii="仿宋" w:hAnsi="仿宋" w:eastAsia="仿宋" w:cs="仿宋"/>
                <w:szCs w:val="21"/>
              </w:rPr>
            </w:pPr>
            <w:r>
              <w:rPr>
                <w:rFonts w:hint="eastAsia" w:ascii="仿宋" w:hAnsi="仿宋" w:eastAsia="仿宋" w:cs="仿宋"/>
                <w:szCs w:val="21"/>
              </w:rPr>
              <w:t>风险承受能力评估结果</w:t>
            </w:r>
          </w:p>
        </w:tc>
        <w:tc>
          <w:tcPr>
            <w:tcW w:w="8887" w:type="dxa"/>
            <w:noWrap w:val="0"/>
            <w:vAlign w:val="center"/>
          </w:tcPr>
          <w:p>
            <w:pPr>
              <w:spacing w:line="360" w:lineRule="auto"/>
              <w:rPr>
                <w:rFonts w:hint="eastAsia" w:ascii="仿宋" w:hAnsi="仿宋" w:eastAsia="仿宋" w:cs="仿宋"/>
                <w:color w:val="000000"/>
                <w:kern w:val="0"/>
                <w:sz w:val="32"/>
                <w:szCs w:val="32"/>
                <w:u w:val="single"/>
              </w:rPr>
            </w:pPr>
            <w:r>
              <w:rPr>
                <w:rFonts w:hint="eastAsia" w:ascii="仿宋" w:hAnsi="仿宋" w:eastAsia="仿宋" w:cs="仿宋"/>
                <w:b/>
                <w:szCs w:val="21"/>
              </w:rPr>
              <w:t>经销售机构的风险承受能力评估，本人/本机构确认风险承受能力评估结果为_______。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855" w:type="dxa"/>
            <w:noWrap w:val="0"/>
            <w:vAlign w:val="center"/>
          </w:tcPr>
          <w:p>
            <w:pPr>
              <w:spacing w:line="360" w:lineRule="auto"/>
              <w:jc w:val="center"/>
              <w:rPr>
                <w:rFonts w:ascii="仿宋" w:hAnsi="仿宋" w:eastAsia="仿宋" w:cs="仿宋"/>
                <w:szCs w:val="21"/>
              </w:rPr>
            </w:pPr>
            <w:r>
              <w:rPr>
                <w:rFonts w:hint="eastAsia" w:ascii="仿宋" w:hAnsi="仿宋" w:eastAsia="仿宋" w:cs="仿宋"/>
                <w:szCs w:val="21"/>
              </w:rPr>
              <w:t>适用于</w:t>
            </w:r>
          </w:p>
          <w:p>
            <w:pPr>
              <w:spacing w:line="360" w:lineRule="auto"/>
              <w:jc w:val="center"/>
              <w:rPr>
                <w:rFonts w:ascii="仿宋" w:hAnsi="仿宋" w:eastAsia="仿宋" w:cs="仿宋"/>
                <w:szCs w:val="21"/>
              </w:rPr>
            </w:pPr>
            <w:r>
              <w:rPr>
                <w:rFonts w:ascii="仿宋" w:hAnsi="仿宋" w:eastAsia="仿宋" w:cs="仿宋"/>
                <w:szCs w:val="21"/>
              </w:rPr>
              <w:t>个人</w:t>
            </w:r>
          </w:p>
          <w:p>
            <w:pPr>
              <w:spacing w:line="360" w:lineRule="auto"/>
              <w:jc w:val="center"/>
              <w:rPr>
                <w:rFonts w:ascii="仿宋" w:hAnsi="仿宋" w:eastAsia="仿宋" w:cs="仿宋"/>
                <w:szCs w:val="21"/>
              </w:rPr>
            </w:pPr>
            <w:r>
              <w:rPr>
                <w:rFonts w:hint="eastAsia" w:ascii="仿宋" w:hAnsi="仿宋" w:eastAsia="仿宋" w:cs="仿宋"/>
                <w:szCs w:val="21"/>
              </w:rPr>
              <w:t>投资者</w:t>
            </w:r>
          </w:p>
        </w:tc>
        <w:tc>
          <w:tcPr>
            <w:tcW w:w="8887" w:type="dxa"/>
            <w:noWrap w:val="0"/>
            <w:vAlign w:val="center"/>
          </w:tcPr>
          <w:p>
            <w:pPr>
              <w:spacing w:line="360" w:lineRule="auto"/>
              <w:rPr>
                <w:rFonts w:hint="eastAsia" w:ascii="仿宋" w:hAnsi="仿宋" w:eastAsia="仿宋" w:cs="仿宋"/>
                <w:szCs w:val="21"/>
              </w:rPr>
            </w:pPr>
            <w:r>
              <w:rPr>
                <w:rFonts w:hint="eastAsia" w:ascii="仿宋" w:hAnsi="仿宋" w:eastAsia="仿宋" w:cs="仿宋"/>
                <w:bCs/>
                <w:szCs w:val="21"/>
              </w:rPr>
              <w:t>本人</w:t>
            </w:r>
            <w:r>
              <w:rPr>
                <w:rFonts w:hint="eastAsia" w:ascii="仿宋" w:hAnsi="仿宋" w:eastAsia="仿宋" w:cs="仿宋"/>
                <w:szCs w:val="21"/>
              </w:rPr>
              <w:t>同时确认如下：（客户需全文抄录风险确认语句并签字确认）</w:t>
            </w:r>
          </w:p>
          <w:p>
            <w:pPr>
              <w:spacing w:line="360" w:lineRule="auto"/>
              <w:rPr>
                <w:rFonts w:hint="eastAsia" w:ascii="仿宋" w:hAnsi="仿宋" w:eastAsia="仿宋" w:cs="仿宋"/>
                <w:szCs w:val="21"/>
              </w:rPr>
            </w:pPr>
            <w:r>
              <w:rPr>
                <w:rFonts w:hint="eastAsia" w:ascii="仿宋" w:hAnsi="仿宋" w:eastAsia="仿宋" w:cs="仿宋"/>
                <w:b/>
                <w:szCs w:val="21"/>
              </w:rPr>
              <w:t>本人已经阅读风险揭示，愿意承担投资风险</w:t>
            </w:r>
            <w:r>
              <w:rPr>
                <w:rFonts w:hint="eastAsia" w:ascii="仿宋" w:hAnsi="仿宋" w:eastAsia="仿宋" w:cs="仿宋"/>
                <w:szCs w:val="21"/>
              </w:rPr>
              <w:t>。</w:t>
            </w:r>
          </w:p>
          <w:p>
            <w:pPr>
              <w:spacing w:line="360" w:lineRule="auto"/>
              <w:rPr>
                <w:rFonts w:ascii="微软简仿宋" w:eastAsia="仿宋"/>
                <w:color w:val="000000"/>
                <w:kern w:val="0"/>
                <w:sz w:val="32"/>
                <w:szCs w:val="32"/>
                <w:u w:val="single"/>
              </w:rPr>
            </w:pPr>
            <w:r>
              <w:rPr>
                <w:rFonts w:hint="eastAsia" w:ascii="仿宋" w:hAnsi="仿宋" w:eastAsia="仿宋" w:cs="仿宋"/>
                <w:color w:val="000000"/>
                <w:kern w:val="0"/>
                <w:sz w:val="32"/>
                <w:szCs w:val="32"/>
                <w:u w:val="single"/>
              </w:rPr>
              <w:t>□ □ □ □ □ □ □ □ □，□ □ □ □ □ □ □ □</w:t>
            </w:r>
            <w:r>
              <w:rPr>
                <w:rFonts w:ascii="仿宋" w:hAnsi="仿宋" w:eastAsia="仿宋" w:cs="仿宋"/>
                <w:color w:val="000000"/>
                <w:kern w:val="0"/>
                <w:sz w:val="32"/>
                <w:szCs w:val="32"/>
                <w:u w:val="singl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jc w:val="center"/>
        </w:trPr>
        <w:tc>
          <w:tcPr>
            <w:tcW w:w="855" w:type="dxa"/>
            <w:noWrap w:val="0"/>
            <w:vAlign w:val="center"/>
          </w:tcPr>
          <w:p>
            <w:pPr>
              <w:spacing w:line="360" w:lineRule="auto"/>
              <w:jc w:val="center"/>
              <w:rPr>
                <w:rFonts w:ascii="仿宋" w:hAnsi="仿宋" w:eastAsia="仿宋" w:cs="仿宋"/>
                <w:szCs w:val="21"/>
              </w:rPr>
            </w:pPr>
            <w:r>
              <w:rPr>
                <w:rFonts w:hint="eastAsia" w:ascii="仿宋" w:hAnsi="仿宋" w:eastAsia="仿宋" w:cs="仿宋"/>
                <w:szCs w:val="21"/>
              </w:rPr>
              <w:t>适用于</w:t>
            </w:r>
          </w:p>
          <w:p>
            <w:pPr>
              <w:spacing w:line="360" w:lineRule="auto"/>
              <w:jc w:val="center"/>
              <w:rPr>
                <w:rFonts w:ascii="仿宋" w:hAnsi="仿宋" w:eastAsia="仿宋" w:cs="仿宋"/>
                <w:szCs w:val="21"/>
              </w:rPr>
            </w:pPr>
            <w:r>
              <w:rPr>
                <w:rFonts w:ascii="仿宋" w:hAnsi="仿宋" w:eastAsia="仿宋" w:cs="仿宋"/>
                <w:szCs w:val="21"/>
              </w:rPr>
              <w:t>机构</w:t>
            </w:r>
          </w:p>
          <w:p>
            <w:pPr>
              <w:spacing w:line="360" w:lineRule="auto"/>
              <w:jc w:val="center"/>
              <w:rPr>
                <w:rFonts w:ascii="仿宋" w:hAnsi="仿宋" w:eastAsia="仿宋" w:cs="仿宋"/>
                <w:szCs w:val="21"/>
              </w:rPr>
            </w:pPr>
            <w:r>
              <w:rPr>
                <w:rFonts w:hint="eastAsia" w:ascii="仿宋" w:hAnsi="仿宋" w:eastAsia="仿宋" w:cs="仿宋"/>
                <w:szCs w:val="21"/>
              </w:rPr>
              <w:t>投资者</w:t>
            </w:r>
          </w:p>
        </w:tc>
        <w:tc>
          <w:tcPr>
            <w:tcW w:w="8887" w:type="dxa"/>
            <w:noWrap w:val="0"/>
            <w:vAlign w:val="center"/>
          </w:tcPr>
          <w:p>
            <w:pPr>
              <w:spacing w:line="360" w:lineRule="auto"/>
              <w:rPr>
                <w:rFonts w:hint="eastAsia" w:ascii="仿宋" w:hAnsi="仿宋" w:eastAsia="仿宋" w:cs="仿宋"/>
                <w:szCs w:val="21"/>
              </w:rPr>
            </w:pPr>
            <w:r>
              <w:rPr>
                <w:rFonts w:hint="eastAsia" w:ascii="仿宋" w:hAnsi="仿宋" w:eastAsia="仿宋" w:cs="仿宋"/>
                <w:bCs/>
                <w:szCs w:val="21"/>
              </w:rPr>
              <w:t>本机构</w:t>
            </w:r>
            <w:r>
              <w:rPr>
                <w:rFonts w:hint="eastAsia" w:ascii="仿宋" w:hAnsi="仿宋" w:eastAsia="仿宋" w:cs="仿宋"/>
                <w:szCs w:val="21"/>
              </w:rPr>
              <w:t>同时确认如下：（客户需全文抄录风险确认语句并签字确认）</w:t>
            </w:r>
          </w:p>
          <w:p>
            <w:pPr>
              <w:spacing w:line="360" w:lineRule="auto"/>
              <w:rPr>
                <w:rFonts w:hint="eastAsia" w:ascii="仿宋" w:hAnsi="仿宋" w:eastAsia="仿宋" w:cs="仿宋"/>
                <w:b/>
                <w:szCs w:val="21"/>
              </w:rPr>
            </w:pPr>
            <w:r>
              <w:rPr>
                <w:rFonts w:hint="eastAsia" w:ascii="仿宋" w:hAnsi="仿宋" w:eastAsia="仿宋" w:cs="仿宋"/>
                <w:b/>
                <w:szCs w:val="21"/>
              </w:rPr>
              <w:t>本机构已经阅读风险揭示，愿意承担投资风险。</w:t>
            </w:r>
          </w:p>
          <w:p>
            <w:pPr>
              <w:spacing w:line="360" w:lineRule="auto"/>
              <w:rPr>
                <w:rFonts w:hint="eastAsia" w:ascii="仿宋" w:hAnsi="仿宋" w:eastAsia="仿宋" w:cs="仿宋"/>
                <w:szCs w:val="21"/>
              </w:rPr>
            </w:pPr>
            <w:r>
              <w:rPr>
                <w:rFonts w:hint="eastAsia" w:ascii="仿宋" w:hAnsi="仿宋" w:eastAsia="仿宋" w:cs="仿宋"/>
                <w:color w:val="000000"/>
                <w:kern w:val="0"/>
                <w:sz w:val="32"/>
                <w:szCs w:val="32"/>
                <w:u w:val="single"/>
              </w:rPr>
              <w:t>□ □ □ □ □ □ □ □ □ □，□ □ □ □ □ □ □ □。</w:t>
            </w:r>
          </w:p>
        </w:tc>
      </w:tr>
    </w:tbl>
    <w:p>
      <w:pPr>
        <w:pStyle w:val="58b1f9d7"/>
        <w:spacing w:line="360" w:lineRule="auto"/>
        <w:ind w:firstLine="420" w:firstLineChars="200"/>
        <w:rPr>
          <w:rFonts w:hint="eastAsia" w:ascii="仿宋" w:hAnsi="仿宋" w:eastAsia="仿宋" w:cs="仿宋"/>
          <w:szCs w:val="21"/>
        </w:rPr>
      </w:pPr>
      <w:r>
        <w:rPr>
          <w:rFonts w:hint="eastAsia" w:ascii="仿宋" w:hAnsi="仿宋" w:eastAsia="仿宋" w:cs="仿宋"/>
          <w:szCs w:val="21"/>
        </w:rPr>
        <w:t>客户通过华夏理财/代销机构电子渠道自行确认后生效，即视为客户已阅读并清楚风险揭示，愿意承担投资风险。</w:t>
      </w:r>
    </w:p>
    <w:p>
      <w:pPr>
        <w:pStyle w:val="58b1f9d7"/>
        <w:spacing w:line="360" w:lineRule="auto"/>
        <w:rPr>
          <w:rFonts w:hint="eastAsia" w:ascii="仿宋" w:hAnsi="仿宋" w:eastAsia="仿宋" w:cs="仿宋"/>
          <w:szCs w:val="21"/>
        </w:rPr>
      </w:pPr>
    </w:p>
    <w:p>
      <w:pPr>
        <w:pStyle w:val="58b1f9d7"/>
        <w:spacing w:line="360" w:lineRule="auto"/>
        <w:rPr>
          <w:rFonts w:hint="eastAsia" w:ascii="仿宋" w:hAnsi="仿宋" w:eastAsia="仿宋" w:cs="仿宋"/>
          <w:szCs w:val="21"/>
        </w:rPr>
      </w:pPr>
    </w:p>
    <w:p>
      <w:pPr>
        <w:pStyle w:val="58b1f9d7"/>
        <w:wordWrap w:val="0"/>
        <w:spacing w:line="360" w:lineRule="auto"/>
        <w:ind w:firstLine="6090" w:firstLineChars="2900"/>
        <w:jc w:val="right"/>
        <w:rPr>
          <w:rFonts w:ascii="仿宋" w:hAnsi="仿宋" w:eastAsia="仿宋" w:cs="仿宋"/>
          <w:szCs w:val="21"/>
        </w:rPr>
      </w:pPr>
      <w:r>
        <w:rPr>
          <w:rFonts w:hint="eastAsia" w:ascii="仿宋" w:hAnsi="仿宋" w:eastAsia="仿宋" w:cs="仿宋"/>
          <w:szCs w:val="21"/>
        </w:rPr>
        <w:t xml:space="preserve">   客户（签字或签章）：         </w:t>
      </w:r>
    </w:p>
    <w:p>
      <w:pPr>
        <w:pStyle w:val="58b1f9d7"/>
        <w:spacing w:line="360" w:lineRule="auto"/>
        <w:ind w:firstLine="6090" w:firstLineChars="2900"/>
        <w:rPr>
          <w:rFonts w:hint="eastAsia" w:ascii="仿宋" w:hAnsi="仿宋" w:eastAsia="仿宋" w:cs="仿宋"/>
          <w:szCs w:val="21"/>
        </w:rPr>
      </w:pPr>
    </w:p>
    <w:p>
      <w:pPr>
        <w:pStyle w:val="58b1f9d7"/>
        <w:wordWrap w:val="0"/>
        <w:spacing w:line="360" w:lineRule="auto"/>
        <w:jc w:val="right"/>
        <w:rPr>
          <w:rFonts w:ascii="仿宋" w:hAnsi="仿宋" w:eastAsia="仿宋" w:cs="仿宋"/>
          <w:b/>
          <w:bCs/>
          <w:szCs w:val="21"/>
        </w:rPr>
      </w:pPr>
      <w:r>
        <w:rPr>
          <w:rFonts w:hint="eastAsia" w:ascii="仿宋" w:hAnsi="仿宋" w:eastAsia="仿宋" w:cs="仿宋"/>
          <w:szCs w:val="21"/>
        </w:rPr>
        <w:t xml:space="preserve">                                                      日期：    年    月    日    </w:t>
      </w:r>
    </w:p>
    <w:p>
      <w:pPr>
        <w:pStyle w:val="58b1f9d7"/>
        <w:pageBreakBefore w:val="true"/>
      </w:pPr>
    </w:p>
    <w:p>
      <w:pPr>
        <w:pStyle w:val="e80786d1"/>
        <w:spacing w:line="360" w:lineRule="auto"/>
        <w:ind w:firstLine="0"/>
        <w:rPr>
          <w:rFonts w:hint="eastAsia" w:ascii="仿宋" w:hAnsi="仿宋" w:eastAsia="仿宋" w:cs="仿宋"/>
          <w:sz w:val="32"/>
          <w:szCs w:val="32"/>
        </w:rPr>
      </w:pPr>
      <w:r>
        <w:rPr>
          <w:rFonts w:hint="eastAsia" w:ascii="仿宋" w:hAnsi="仿宋" w:eastAsia="仿宋" w:cs="仿宋"/>
          <w:sz w:val="32"/>
          <w:szCs w:val="32"/>
        </w:rPr>
        <w:pict>
          <v:shape id="_x0000_i1025" o:spt="75" type="#_x0000_t75" style="height:36.8pt;width:217.9pt;" filled="f" o:preferrelative="t" stroked="f" coordsize="21600,21600">
            <v:path/>
            <v:fill on="f" focussize="0,0"/>
            <v:stroke on="f"/>
            <v:imagedata r:id="rId3" o:title=""/>
            <o:lock v:ext="edit" aspectratio="t"/>
            <w10:wrap type="none"/>
            <w10:anchorlock/>
          </v:shape>
        </w:pict>
      </w:r>
    </w:p>
    <w:p>
      <w:pPr>
        <w:pStyle w:val="b7ed0cec"/>
        <w:spacing w:line="360" w:lineRule="auto"/>
        <w:jc w:val="center"/>
        <w:rPr>
          <w:rFonts w:hint="eastAsia" w:ascii="方正小标宋_GBK" w:hAnsi="方正小标宋_GBK" w:eastAsia="方正小标宋_GBK" w:cs="方正小标宋_GBK"/>
          <w:sz w:val="32"/>
        </w:rPr>
      </w:pPr>
      <w:r>
        <w:rPr>
          <w:rFonts w:hint="eastAsia" w:ascii="方正小标宋_GBK" w:hAnsi="方正小标宋_GBK" w:eastAsia="方正小标宋_GBK" w:cs="方正小标宋_GBK"/>
          <w:sz w:val="32"/>
        </w:rPr>
        <w:t>华夏理财有限责任公司理财产品</w:t>
      </w:r>
      <w:r>
        <w:rPr>
          <w:rFonts w:hint="eastAsia" w:ascii="方正小标宋_GBK" w:hAnsi="方正小标宋_GBK" w:eastAsia="方正小标宋_GBK" w:cs="方正小标宋_GBK"/>
          <w:sz w:val="32"/>
          <w:szCs w:val="32"/>
        </w:rPr>
        <w:t>投资者</w:t>
      </w:r>
      <w:r>
        <w:rPr>
          <w:rFonts w:hint="eastAsia" w:ascii="方正小标宋_GBK" w:hAnsi="方正小标宋_GBK" w:eastAsia="方正小标宋_GBK" w:cs="方正小标宋_GBK"/>
          <w:sz w:val="32"/>
        </w:rPr>
        <w:t>权益须知</w:t>
      </w:r>
    </w:p>
    <w:p>
      <w:pPr>
        <w:pStyle w:val="b7ed0cec"/>
        <w:spacing w:line="360" w:lineRule="auto"/>
        <w:jc w:val="left"/>
        <w:rPr>
          <w:rFonts w:hint="eastAsia" w:ascii="仿宋" w:hAnsi="仿宋" w:eastAsia="仿宋" w:cs="仿宋"/>
          <w:b/>
          <w:szCs w:val="21"/>
        </w:rPr>
      </w:pPr>
    </w:p>
    <w:p>
      <w:pPr>
        <w:pStyle w:val="b7ed0cec"/>
        <w:spacing w:line="360" w:lineRule="auto"/>
        <w:ind w:firstLine="422" w:firstLineChars="200"/>
        <w:jc w:val="left"/>
        <w:rPr>
          <w:rFonts w:hint="eastAsia" w:ascii="仿宋" w:hAnsi="仿宋" w:eastAsia="仿宋" w:cs="仿宋"/>
          <w:b/>
          <w:szCs w:val="21"/>
          <w:u w:val="single"/>
        </w:rPr>
      </w:pPr>
      <w:r>
        <w:rPr>
          <w:rFonts w:hint="eastAsia" w:ascii="仿宋" w:hAnsi="仿宋" w:eastAsia="仿宋" w:cs="仿宋"/>
          <w:b/>
          <w:szCs w:val="21"/>
        </w:rPr>
        <w:t>本权益须知适用于</w:t>
      </w:r>
      <w:r>
        <w:rPr>
          <w:rFonts w:hint="eastAsia" w:ascii="仿宋" w:hAnsi="仿宋" w:eastAsia="仿宋" w:cs="仿宋"/>
          <w:b/>
          <w:szCs w:val="21"/>
          <w:u w:val="single"/>
        </w:rPr>
        <w:t xml:space="preserve"> </w:t>
      </w:r>
      <w:r>
        <w:rPr>
          <w:rFonts w:hint="eastAsia" w:ascii="仿宋" w:hAnsi="仿宋" w:eastAsia="仿宋" w:cs="仿宋"/>
          <w:b/>
          <w:sz w:val="21"/>
          <w:szCs w:val="21"/>
          <w:u w:val="single"/>
        </w:rPr>
        <w:t xml:space="preserve"> </w:t>
      </w:r>
      <w:r>
        <w:rPr>
          <w:rFonts w:hint="eastAsia" w:ascii="微软简仿宋" w:hAnsi="宋体" w:eastAsia="微软简仿宋"/>
          <w:b/>
          <w:szCs w:val="21"/>
          <w:u w:val="single"/>
        </w:rPr>
        <w:t>厦门银行股份有限公司</w:t>
      </w:r>
      <w:r>
        <w:rPr>
          <w:rFonts w:hint="eastAsia" w:ascii="仿宋" w:hAnsi="仿宋" w:eastAsia="仿宋" w:cs="仿宋"/>
          <w:b/>
          <w:sz w:val="21"/>
          <w:szCs w:val="21"/>
          <w:u w:val="single"/>
        </w:rPr>
        <w:t xml:space="preserve"> </w:t>
      </w:r>
      <w:r>
        <w:rPr>
          <w:rFonts w:hint="eastAsia" w:ascii="仿宋" w:hAnsi="仿宋" w:eastAsia="仿宋" w:cs="仿宋"/>
          <w:b/>
          <w:szCs w:val="21"/>
          <w:u w:val="single"/>
        </w:rPr>
        <w:t xml:space="preserve"> 代理销售华夏理财有限责任公司发行的理财产品。</w:t>
      </w:r>
    </w:p>
    <w:p>
      <w:pPr>
        <w:pStyle w:val="b7ed0cec"/>
        <w:spacing w:line="360" w:lineRule="auto"/>
        <w:rPr>
          <w:rFonts w:hint="eastAsia" w:ascii="仿宋" w:hAnsi="仿宋" w:eastAsia="仿宋" w:cs="仿宋"/>
          <w:szCs w:val="21"/>
        </w:rPr>
      </w:pPr>
    </w:p>
    <w:p>
      <w:pPr>
        <w:pStyle w:val="b7ed0cec"/>
        <w:spacing w:line="360" w:lineRule="auto"/>
        <w:rPr>
          <w:rFonts w:hint="eastAsia" w:ascii="仿宋" w:hAnsi="仿宋" w:eastAsia="仿宋" w:cs="仿宋"/>
          <w:szCs w:val="21"/>
        </w:rPr>
      </w:pPr>
      <w:r>
        <w:rPr>
          <w:rFonts w:hint="eastAsia" w:ascii="仿宋" w:hAnsi="仿宋" w:eastAsia="仿宋" w:cs="仿宋"/>
          <w:szCs w:val="21"/>
        </w:rPr>
        <w:t>尊敬的投资者：</w:t>
      </w:r>
    </w:p>
    <w:p>
      <w:pPr>
        <w:pStyle w:val="b7ed0cec"/>
        <w:spacing w:line="360" w:lineRule="auto"/>
        <w:ind w:firstLine="420" w:firstLineChars="200"/>
        <w:rPr>
          <w:rFonts w:hint="eastAsia" w:ascii="仿宋" w:hAnsi="仿宋" w:eastAsia="仿宋" w:cs="仿宋"/>
          <w:szCs w:val="21"/>
        </w:rPr>
      </w:pPr>
      <w:r>
        <w:rPr>
          <w:rFonts w:hint="eastAsia" w:ascii="仿宋" w:eastAsia="仿宋" w:cs="仿宋"/>
          <w:b w:val="0"/>
          <w:bCs w:val="0"/>
          <w:kern w:val="0"/>
          <w:sz w:val="21"/>
          <w:szCs w:val="21"/>
        </w:rPr>
        <w:t>理财非存款、产品有风险、投资须谨慎。</w:t>
      </w:r>
      <w:r>
        <w:rPr>
          <w:rFonts w:hint="eastAsia" w:ascii="仿宋" w:hAnsi="仿宋" w:eastAsia="仿宋" w:cs="仿宋"/>
          <w:szCs w:val="21"/>
        </w:rPr>
        <w:t>为方便您办理理财业务，请仔细阅读以下内容，如有问题请及时联系代理销售机构（以下简称“代销机构”）理财经理、致电</w:t>
      </w:r>
      <w:r>
        <w:rPr>
          <w:rFonts w:hint="eastAsia" w:ascii="仿宋" w:hAnsi="仿宋" w:eastAsia="仿宋" w:cs="仿宋"/>
          <w:b/>
          <w:szCs w:val="21"/>
        </w:rPr>
        <w:t>□华夏理财客户服务热线（4001795577）□或</w:t>
      </w:r>
      <w:r>
        <w:rPr>
          <w:rFonts w:hint="eastAsia" w:ascii="仿宋" w:hAnsi="仿宋" w:eastAsia="仿宋" w:cs="仿宋"/>
          <w:b/>
          <w:szCs w:val="21"/>
          <w:u w:val="single"/>
        </w:rPr>
        <w:t xml:space="preserve"> </w:t>
      </w:r>
      <w:r>
        <w:rPr>
          <w:rFonts w:hint="eastAsia" w:ascii="微软简仿宋" w:hAnsi="宋体" w:eastAsia="微软简仿宋"/>
          <w:b/>
          <w:szCs w:val="21"/>
          <w:u w:val="single"/>
        </w:rPr>
        <w:t xml:space="preserve"> 厦门银行股份有限公司</w:t>
      </w:r>
      <w:r>
        <w:rPr>
          <w:rFonts w:hint="eastAsia" w:ascii="微软简仿宋" w:hAnsi="宋体" w:eastAsia="微软简仿宋"/>
          <w:b/>
          <w:szCs w:val="21"/>
          <w:u w:val="single"/>
          <w:lang w:val="en-US" w:eastAsia="zh-CN"/>
        </w:rPr>
        <w:t xml:space="preserve"> </w:t>
      </w:r>
      <w:r>
        <w:rPr>
          <w:rFonts w:hint="eastAsia" w:ascii="仿宋" w:hAnsi="仿宋" w:eastAsia="仿宋" w:cs="仿宋"/>
          <w:b/>
          <w:szCs w:val="21"/>
          <w:u w:val="single"/>
        </w:rPr>
        <w:t xml:space="preserve"> </w:t>
      </w:r>
      <w:r>
        <w:rPr>
          <w:rFonts w:hint="eastAsia" w:ascii="仿宋" w:hAnsi="仿宋" w:eastAsia="仿宋" w:cs="仿宋"/>
          <w:b/>
          <w:szCs w:val="21"/>
        </w:rPr>
        <w:t>代销机构客户服务热线</w:t>
      </w:r>
      <w:r>
        <w:rPr>
          <w:rFonts w:hint="eastAsia" w:ascii="仿宋" w:hAnsi="仿宋" w:eastAsia="仿宋" w:cs="仿宋"/>
          <w:szCs w:val="21"/>
        </w:rPr>
        <w:t>。</w:t>
      </w:r>
    </w:p>
    <w:p>
      <w:pPr>
        <w:pStyle w:val="b7ed0cec"/>
        <w:spacing w:line="360" w:lineRule="auto"/>
        <w:ind w:firstLine="422" w:firstLineChars="200"/>
        <w:rPr>
          <w:rFonts w:hint="eastAsia" w:ascii="仿宋" w:hAnsi="仿宋" w:eastAsia="仿宋" w:cs="仿宋"/>
          <w:b/>
          <w:szCs w:val="21"/>
        </w:rPr>
      </w:pPr>
      <w:r>
        <w:rPr>
          <w:rFonts w:hint="eastAsia" w:ascii="仿宋" w:hAnsi="仿宋" w:eastAsia="仿宋" w:cs="仿宋"/>
          <w:b/>
          <w:szCs w:val="21"/>
        </w:rPr>
        <w:t>本理财产品由华夏理财有限责任公司（以下简称：华夏理财/本公司）发行与管理，代销机构仅为本理财产品的代理销售人，非理财产品的发行机构与管理机构，不承担产品的投资和兑付责任。</w:t>
      </w:r>
    </w:p>
    <w:p>
      <w:pPr>
        <w:pStyle w:val="b7ed0cec"/>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一、理财业务的办理</w:t>
      </w:r>
    </w:p>
    <w:p>
      <w:pPr>
        <w:pStyle w:val="b7ed0cec"/>
        <w:spacing w:line="360" w:lineRule="auto"/>
        <w:ind w:firstLine="420" w:firstLineChars="200"/>
        <w:rPr>
          <w:rFonts w:hint="eastAsia" w:ascii="仿宋" w:hAnsi="仿宋" w:eastAsia="仿宋" w:cs="仿宋"/>
          <w:szCs w:val="21"/>
        </w:rPr>
      </w:pPr>
      <w:r>
        <w:rPr>
          <w:rFonts w:hint="eastAsia" w:ascii="仿宋" w:hAnsi="仿宋" w:eastAsia="仿宋" w:cs="仿宋"/>
          <w:szCs w:val="21"/>
        </w:rPr>
        <w:t>（1）投资者办理理财业务时，须指定一个银行账户作为理财资金账户（具体账户开户行须满足理财代销机构业务要求）。理财产品认/申购资金、兑付、赎回、分红等款项将通过该账户扣缴和收付。</w:t>
      </w:r>
    </w:p>
    <w:p>
      <w:pPr>
        <w:pStyle w:val="b7ed0cec"/>
        <w:spacing w:line="360" w:lineRule="auto"/>
        <w:ind w:firstLine="420" w:firstLineChars="200"/>
        <w:rPr>
          <w:rFonts w:hint="eastAsia" w:ascii="仿宋" w:hAnsi="仿宋" w:eastAsia="仿宋" w:cs="仿宋"/>
          <w:szCs w:val="21"/>
        </w:rPr>
      </w:pPr>
      <w:r>
        <w:rPr>
          <w:rFonts w:hint="eastAsia" w:ascii="仿宋" w:hAnsi="仿宋" w:eastAsia="仿宋" w:cs="仿宋"/>
          <w:szCs w:val="21"/>
        </w:rPr>
        <w:t>（2）投资者可通过代销机构营业网点、电子银行、APP等渠道办理理财业务，具体交易时间及办理流程以代销机构的业务规则为准。</w:t>
      </w:r>
    </w:p>
    <w:p>
      <w:pPr>
        <w:pStyle w:val="b7ed0cec"/>
        <w:spacing w:line="360" w:lineRule="auto"/>
        <w:ind w:firstLine="420" w:firstLineChars="200"/>
        <w:rPr>
          <w:rFonts w:hint="eastAsia" w:ascii="仿宋" w:hAnsi="仿宋" w:eastAsia="仿宋" w:cs="仿宋"/>
          <w:szCs w:val="21"/>
        </w:rPr>
      </w:pPr>
      <w:r>
        <w:rPr>
          <w:rFonts w:hint="eastAsia" w:ascii="仿宋" w:hAnsi="仿宋" w:eastAsia="仿宋" w:cs="仿宋"/>
          <w:szCs w:val="21"/>
        </w:rPr>
        <w:t>（3）投资者选择投资符合自身需求及风险承受能力的理财产品后，须阅读并签署投资协议书、销售（代理销售）协议书、产品说明书、风险揭示书和投资者权益须知等文件。</w:t>
      </w:r>
    </w:p>
    <w:p>
      <w:pPr>
        <w:pStyle w:val="b7ed0cec"/>
        <w:spacing w:line="360" w:lineRule="auto"/>
        <w:ind w:firstLine="420" w:firstLineChars="200"/>
        <w:rPr>
          <w:rFonts w:hint="eastAsia" w:ascii="仿宋" w:hAnsi="仿宋" w:eastAsia="仿宋" w:cs="仿宋"/>
          <w:szCs w:val="21"/>
        </w:rPr>
      </w:pPr>
      <w:r>
        <w:rPr>
          <w:rFonts w:hint="eastAsia" w:ascii="仿宋" w:hAnsi="仿宋" w:eastAsia="仿宋" w:cs="仿宋"/>
          <w:szCs w:val="21"/>
        </w:rPr>
        <w:t>（4）投资者提交认购/申购/预约认购/预约申购交易后，代销机构依据销售文件约定划款时间划款。</w:t>
      </w:r>
    </w:p>
    <w:p>
      <w:pPr>
        <w:pStyle w:val="b7ed0cec"/>
        <w:spacing w:line="360" w:lineRule="auto"/>
        <w:ind w:firstLine="420" w:firstLineChars="200"/>
        <w:rPr>
          <w:rFonts w:hint="eastAsia" w:ascii="仿宋" w:hAnsi="仿宋" w:eastAsia="仿宋" w:cs="仿宋"/>
          <w:szCs w:val="21"/>
        </w:rPr>
      </w:pPr>
      <w:r>
        <w:rPr>
          <w:rFonts w:hint="eastAsia" w:ascii="仿宋" w:hAnsi="仿宋" w:eastAsia="仿宋" w:cs="仿宋"/>
          <w:szCs w:val="21"/>
        </w:rPr>
        <w:t>（5）华夏理财按照销售文件约定的业务规则，受理交易申请并进行交易确认。投资者应及时查询确认结果。</w:t>
      </w:r>
    </w:p>
    <w:p>
      <w:pPr>
        <w:pStyle w:val="b7ed0cec"/>
        <w:spacing w:line="360" w:lineRule="auto"/>
        <w:ind w:firstLine="420" w:firstLineChars="200"/>
        <w:rPr>
          <w:rFonts w:hint="eastAsia" w:ascii="仿宋" w:hAnsi="仿宋" w:eastAsia="仿宋" w:cs="仿宋"/>
          <w:szCs w:val="21"/>
        </w:rPr>
      </w:pPr>
      <w:r>
        <w:rPr>
          <w:rFonts w:hint="eastAsia" w:ascii="仿宋" w:hAnsi="仿宋" w:eastAsia="仿宋" w:cs="仿宋"/>
          <w:szCs w:val="21"/>
        </w:rPr>
        <w:t>（6）代销机构对业务办理流程另有约定的，以代销机构约定为准。</w:t>
      </w:r>
    </w:p>
    <w:p>
      <w:pPr>
        <w:pStyle w:val="b7ed0cec"/>
        <w:spacing w:line="360" w:lineRule="auto"/>
        <w:ind w:firstLine="422" w:firstLineChars="200"/>
        <w:rPr>
          <w:rFonts w:hint="eastAsia" w:ascii="仿宋" w:hAnsi="仿宋" w:eastAsia="仿宋" w:cs="仿宋"/>
          <w:szCs w:val="21"/>
        </w:rPr>
      </w:pPr>
      <w:r>
        <w:rPr>
          <w:rFonts w:hint="eastAsia" w:ascii="仿宋" w:hAnsi="仿宋" w:eastAsia="仿宋" w:cs="仿宋"/>
          <w:b/>
          <w:bCs/>
          <w:szCs w:val="21"/>
        </w:rPr>
        <w:t>二、风险承受能力评估流程</w:t>
      </w:r>
      <w:r>
        <w:rPr>
          <w:rFonts w:hint="eastAsia" w:ascii="仿宋" w:hAnsi="仿宋" w:eastAsia="仿宋" w:cs="仿宋"/>
          <w:szCs w:val="21"/>
        </w:rPr>
        <w:t>（适用于普通投资者和华夏理财/代销机构认为需要进行风险承受能力评估的专业投资者）</w:t>
      </w:r>
    </w:p>
    <w:p>
      <w:pPr>
        <w:pStyle w:val="b7ed0cec"/>
        <w:spacing w:line="360" w:lineRule="auto"/>
        <w:ind w:firstLine="420" w:firstLineChars="200"/>
        <w:rPr>
          <w:rFonts w:hint="eastAsia" w:ascii="仿宋" w:hAnsi="仿宋" w:eastAsia="仿宋" w:cs="仿宋"/>
          <w:szCs w:val="21"/>
        </w:rPr>
      </w:pPr>
      <w:r>
        <w:rPr>
          <w:rFonts w:hint="eastAsia" w:ascii="仿宋" w:hAnsi="仿宋" w:eastAsia="仿宋" w:cs="仿宋"/>
          <w:szCs w:val="21"/>
        </w:rPr>
        <w:t>投资者首次购买理财产品前，需要在理财代销机构营业网点或其他指定方式完成风险承受能力评估。该评估结果有效期</w:t>
      </w:r>
      <w:r>
        <w:rPr>
          <w:rFonts w:hint="eastAsia" w:ascii="仿宋" w:hAnsi="仿宋" w:eastAsia="仿宋" w:cs="仿宋"/>
          <w:szCs w:val="21"/>
          <w:lang w:val="en-US" w:eastAsia="zh-CN"/>
        </w:rPr>
        <w:t>十二个月</w:t>
      </w:r>
      <w:r>
        <w:rPr>
          <w:rFonts w:hint="eastAsia" w:ascii="仿宋" w:hAnsi="仿宋" w:eastAsia="仿宋" w:cs="仿宋"/>
          <w:szCs w:val="21"/>
        </w:rPr>
        <w:t>，并将作为评价您是否适合购买相应理财产品的重要因素，您可以通过理财代销机构营业网点或网上银行、手机银行进行风险承受能力持续评估。您的评估结果超过</w:t>
      </w:r>
      <w:r>
        <w:rPr>
          <w:rFonts w:hint="eastAsia" w:ascii="仿宋" w:hAnsi="仿宋" w:eastAsia="仿宋" w:cs="仿宋"/>
          <w:szCs w:val="21"/>
          <w:lang w:val="en-US" w:eastAsia="zh-CN"/>
        </w:rPr>
        <w:t>十二个月</w:t>
      </w:r>
      <w:r>
        <w:rPr>
          <w:rFonts w:hint="eastAsia" w:ascii="仿宋" w:hAnsi="仿宋" w:eastAsia="仿宋" w:cs="仿宋"/>
          <w:szCs w:val="21"/>
        </w:rPr>
        <w:t>后再次购买理财产品时，必须重新评估风险承受能力；如您发生可能影响自身风险承受能力的情形，</w:t>
      </w:r>
      <w:r>
        <w:rPr>
          <w:rFonts w:hint="eastAsia" w:ascii="仿宋" w:hAnsi="仿宋" w:eastAsia="仿宋" w:cs="仿宋"/>
          <w:szCs w:val="21"/>
          <w:lang w:val="en-US" w:eastAsia="zh-CN"/>
        </w:rPr>
        <w:t>应当主动告知我们，您</w:t>
      </w:r>
      <w:r>
        <w:rPr>
          <w:rFonts w:hint="eastAsia" w:ascii="仿宋" w:hAnsi="仿宋" w:eastAsia="仿宋" w:cs="仿宋"/>
          <w:szCs w:val="21"/>
        </w:rPr>
        <w:t>再次购买理财产品时应当主动要求重新评估风险承受能力。</w:t>
      </w:r>
      <w:r>
        <w:rPr>
          <w:rFonts w:hint="eastAsia" w:ascii="仿宋" w:hAnsi="仿宋" w:eastAsia="仿宋" w:cs="仿宋"/>
          <w:b/>
          <w:bCs/>
          <w:szCs w:val="21"/>
        </w:rPr>
        <w:t>未准确、如实进行风险承受能力评估可能对产品购买带来不利影响，华夏理财及理财代销机构对因此产生的后果不承担任何责任。</w:t>
      </w:r>
    </w:p>
    <w:p>
      <w:pPr>
        <w:pStyle w:val="b7ed0cec"/>
        <w:spacing w:line="360" w:lineRule="auto"/>
        <w:ind w:firstLine="420" w:firstLineChars="200"/>
        <w:rPr>
          <w:rFonts w:hint="eastAsia" w:ascii="仿宋" w:hAnsi="仿宋" w:eastAsia="仿宋" w:cs="仿宋"/>
          <w:szCs w:val="21"/>
        </w:rPr>
      </w:pPr>
      <w:r>
        <w:rPr>
          <w:rFonts w:hint="eastAsia" w:ascii="仿宋" w:hAnsi="仿宋" w:eastAsia="仿宋" w:cs="仿宋"/>
          <w:szCs w:val="21"/>
        </w:rPr>
        <w:t>华夏理财客户风险承受能力评级及风险特征描述、适合的产品风险等级告知如下：</w:t>
      </w:r>
    </w:p>
    <w:tbl>
      <w:tblPr>
        <w:tblStyle w:val="1d7f61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0"/>
        <w:gridCol w:w="5683"/>
        <w:gridCol w:w="23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1" w:hRule="atLeast"/>
          <w:tblHeader/>
          <w:jc w:val="center"/>
        </w:trPr>
        <w:tc>
          <w:tcPr>
            <w:tcW w:w="1370" w:type="dxa"/>
            <w:noWrap w:val="0"/>
            <w:vAlign w:val="center"/>
          </w:tcPr>
          <w:p>
            <w:pPr>
              <w:adjustRightInd w:val="0"/>
              <w:snapToGrid w:val="0"/>
              <w:jc w:val="center"/>
              <w:rPr>
                <w:rFonts w:hint="eastAsia" w:ascii="仿宋" w:hAnsi="仿宋" w:eastAsia="仿宋" w:cs="仿宋"/>
                <w:b/>
                <w:color w:val="000000"/>
                <w:kern w:val="0"/>
                <w:szCs w:val="21"/>
              </w:rPr>
            </w:pPr>
            <w:r>
              <w:rPr>
                <w:rFonts w:hint="eastAsia" w:ascii="仿宋" w:hAnsi="仿宋" w:eastAsia="仿宋" w:cs="仿宋"/>
                <w:b/>
                <w:color w:val="000000"/>
                <w:kern w:val="0"/>
                <w:szCs w:val="21"/>
              </w:rPr>
              <w:t>评级类型</w:t>
            </w:r>
          </w:p>
        </w:tc>
        <w:tc>
          <w:tcPr>
            <w:tcW w:w="5683" w:type="dxa"/>
            <w:noWrap w:val="0"/>
            <w:vAlign w:val="center"/>
          </w:tcPr>
          <w:p>
            <w:pPr>
              <w:adjustRightInd w:val="0"/>
              <w:snapToGrid w:val="0"/>
              <w:jc w:val="center"/>
              <w:rPr>
                <w:rFonts w:hint="eastAsia" w:ascii="仿宋" w:hAnsi="仿宋" w:eastAsia="仿宋" w:cs="仿宋"/>
                <w:b/>
                <w:color w:val="000000"/>
                <w:kern w:val="0"/>
                <w:szCs w:val="21"/>
              </w:rPr>
            </w:pPr>
            <w:r>
              <w:rPr>
                <w:rFonts w:hint="eastAsia" w:ascii="仿宋" w:hAnsi="仿宋" w:eastAsia="仿宋" w:cs="仿宋"/>
                <w:b/>
                <w:color w:val="000000"/>
                <w:kern w:val="0"/>
                <w:szCs w:val="21"/>
              </w:rPr>
              <w:t>评级具体含义</w:t>
            </w:r>
          </w:p>
        </w:tc>
        <w:tc>
          <w:tcPr>
            <w:tcW w:w="2373" w:type="dxa"/>
            <w:noWrap w:val="0"/>
            <w:vAlign w:val="center"/>
          </w:tcPr>
          <w:p>
            <w:pPr>
              <w:adjustRightInd w:val="0"/>
              <w:snapToGrid w:val="0"/>
              <w:jc w:val="center"/>
              <w:rPr>
                <w:rFonts w:hint="eastAsia" w:ascii="仿宋" w:hAnsi="仿宋" w:eastAsia="仿宋" w:cs="仿宋"/>
                <w:b/>
                <w:color w:val="000000"/>
                <w:kern w:val="0"/>
                <w:szCs w:val="21"/>
              </w:rPr>
            </w:pPr>
            <w:r>
              <w:rPr>
                <w:rFonts w:hint="eastAsia" w:ascii="仿宋" w:hAnsi="仿宋" w:eastAsia="仿宋" w:cs="仿宋"/>
                <w:b/>
                <w:color w:val="000000"/>
                <w:kern w:val="0"/>
                <w:szCs w:val="21"/>
              </w:rPr>
              <w:t>适合的产品风险等级</w:t>
            </w:r>
          </w:p>
          <w:p>
            <w:pPr>
              <w:adjustRightInd w:val="0"/>
              <w:snapToGrid w:val="0"/>
              <w:jc w:val="center"/>
              <w:rPr>
                <w:rFonts w:hint="eastAsia" w:ascii="仿宋" w:hAnsi="仿宋" w:eastAsia="仿宋" w:cs="仿宋"/>
                <w:b/>
                <w:color w:val="000000"/>
                <w:kern w:val="0"/>
                <w:szCs w:val="21"/>
              </w:rPr>
            </w:pPr>
            <w:r>
              <w:rPr>
                <w:rFonts w:hint="eastAsia" w:ascii="仿宋" w:hAnsi="仿宋" w:eastAsia="仿宋" w:cs="仿宋"/>
                <w:b/>
                <w:color w:val="000000"/>
                <w:kern w:val="0"/>
                <w:szCs w:val="21"/>
              </w:rPr>
              <w:t>（华夏理财内部评级）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370"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CR1</w:t>
            </w:r>
          </w:p>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（谨慎型）</w:t>
            </w:r>
          </w:p>
        </w:tc>
        <w:tc>
          <w:tcPr>
            <w:tcW w:w="5683" w:type="dxa"/>
            <w:noWrap w:val="0"/>
            <w:vAlign w:val="center"/>
          </w:tcPr>
          <w:p>
            <w:pPr>
              <w:adjustRightInd w:val="0"/>
              <w:snapToGrid w:val="0"/>
              <w:rPr>
                <w:rFonts w:hint="eastAsia" w:ascii="仿宋" w:hAnsi="仿宋" w:eastAsia="仿宋" w:cs="仿宋"/>
                <w:color w:val="000000"/>
                <w:kern w:val="0"/>
                <w:szCs w:val="21"/>
              </w:rPr>
            </w:pPr>
            <w:r>
              <w:rPr>
                <w:rFonts w:hint="eastAsia" w:ascii="仿宋" w:hAnsi="仿宋" w:eastAsia="仿宋" w:cs="仿宋"/>
                <w:color w:val="000000"/>
                <w:kern w:val="0"/>
                <w:szCs w:val="21"/>
              </w:rPr>
              <w:t>低风险承受能力：您只能承受低程度的本金损失风险和收益波动，适合投资于本金损失概率低的投资工具。</w:t>
            </w:r>
          </w:p>
        </w:tc>
        <w:tc>
          <w:tcPr>
            <w:tcW w:w="2373"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PR1级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jc w:val="center"/>
        </w:trPr>
        <w:tc>
          <w:tcPr>
            <w:tcW w:w="1370"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CR2</w:t>
            </w:r>
          </w:p>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（稳健型）</w:t>
            </w:r>
          </w:p>
        </w:tc>
        <w:tc>
          <w:tcPr>
            <w:tcW w:w="5683" w:type="dxa"/>
            <w:noWrap w:val="0"/>
            <w:vAlign w:val="center"/>
          </w:tcPr>
          <w:p>
            <w:pPr>
              <w:adjustRightInd w:val="0"/>
              <w:snapToGrid w:val="0"/>
              <w:rPr>
                <w:rFonts w:hint="eastAsia" w:ascii="仿宋" w:hAnsi="仿宋" w:eastAsia="仿宋" w:cs="仿宋"/>
                <w:color w:val="000000"/>
                <w:kern w:val="0"/>
                <w:szCs w:val="21"/>
              </w:rPr>
            </w:pPr>
            <w:r>
              <w:rPr>
                <w:rFonts w:hint="eastAsia" w:ascii="仿宋" w:hAnsi="仿宋" w:eastAsia="仿宋" w:cs="仿宋"/>
                <w:color w:val="000000"/>
                <w:kern w:val="0"/>
                <w:szCs w:val="21"/>
              </w:rPr>
              <w:t>中低风险承受能力：您愿意承受较低程度的本金损失风险和收益波动，以获取稳健的投资收益，适合投资于本金损失概率较低、具有一定升值潜力的投资工具。</w:t>
            </w:r>
          </w:p>
        </w:tc>
        <w:tc>
          <w:tcPr>
            <w:tcW w:w="2373"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PR1级、PR2级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jc w:val="center"/>
        </w:trPr>
        <w:tc>
          <w:tcPr>
            <w:tcW w:w="1370"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CR3</w:t>
            </w:r>
          </w:p>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（平衡型）</w:t>
            </w:r>
          </w:p>
        </w:tc>
        <w:tc>
          <w:tcPr>
            <w:tcW w:w="5683" w:type="dxa"/>
            <w:noWrap w:val="0"/>
            <w:vAlign w:val="center"/>
          </w:tcPr>
          <w:p>
            <w:pPr>
              <w:adjustRightInd w:val="0"/>
              <w:snapToGrid w:val="0"/>
              <w:rPr>
                <w:rFonts w:hint="eastAsia" w:ascii="仿宋" w:hAnsi="仿宋" w:eastAsia="仿宋" w:cs="仿宋"/>
                <w:color w:val="000000"/>
                <w:kern w:val="0"/>
                <w:szCs w:val="21"/>
              </w:rPr>
            </w:pPr>
            <w:r>
              <w:rPr>
                <w:rFonts w:hint="eastAsia" w:ascii="仿宋" w:hAnsi="仿宋" w:eastAsia="仿宋" w:cs="仿宋"/>
                <w:color w:val="000000"/>
                <w:kern w:val="0"/>
                <w:szCs w:val="21"/>
              </w:rPr>
              <w:t>中等风险承受能力：您愿意承受中等程度的本金损失风险和收益波动，以获取适当的投资收益，适合投资于有一定升值潜力但投资价值存在一定波动的投资工具。</w:t>
            </w:r>
          </w:p>
        </w:tc>
        <w:tc>
          <w:tcPr>
            <w:tcW w:w="2373"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PR1级、PR2级、PR3级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jc w:val="center"/>
        </w:trPr>
        <w:tc>
          <w:tcPr>
            <w:tcW w:w="1370"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CR4</w:t>
            </w:r>
          </w:p>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（进取型）</w:t>
            </w:r>
          </w:p>
        </w:tc>
        <w:tc>
          <w:tcPr>
            <w:tcW w:w="5683" w:type="dxa"/>
            <w:noWrap w:val="0"/>
            <w:vAlign w:val="center"/>
          </w:tcPr>
          <w:p>
            <w:pPr>
              <w:adjustRightInd w:val="0"/>
              <w:snapToGrid w:val="0"/>
              <w:rPr>
                <w:rFonts w:hint="eastAsia" w:ascii="仿宋" w:hAnsi="仿宋" w:eastAsia="仿宋" w:cs="仿宋"/>
                <w:color w:val="000000"/>
                <w:kern w:val="0"/>
                <w:szCs w:val="21"/>
              </w:rPr>
            </w:pPr>
            <w:r>
              <w:rPr>
                <w:rFonts w:hint="eastAsia" w:ascii="仿宋" w:hAnsi="仿宋" w:eastAsia="仿宋" w:cs="仿宋"/>
                <w:color w:val="000000"/>
                <w:kern w:val="0"/>
                <w:szCs w:val="21"/>
              </w:rPr>
              <w:t>中高风险承受能力：您愿意承受较高程度的本金损失风险和收益波动，以获取较高的投资收益，适合投资于有较高升值潜力但投资价值存在较大波动的投资工具。</w:t>
            </w:r>
          </w:p>
        </w:tc>
        <w:tc>
          <w:tcPr>
            <w:tcW w:w="2373"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PR1级、PR2级、PR3级、PR4级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8" w:hRule="atLeast"/>
          <w:jc w:val="center"/>
        </w:trPr>
        <w:tc>
          <w:tcPr>
            <w:tcW w:w="1370" w:type="dxa"/>
            <w:tcBorders>
              <w:bottom w:val="single" w:color="auto" w:sz="4" w:space="0"/>
            </w:tcBorders>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CR5</w:t>
            </w:r>
          </w:p>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（激进型）</w:t>
            </w:r>
          </w:p>
        </w:tc>
        <w:tc>
          <w:tcPr>
            <w:tcW w:w="5683" w:type="dxa"/>
            <w:tcBorders>
              <w:bottom w:val="single" w:color="auto" w:sz="4" w:space="0"/>
            </w:tcBorders>
            <w:noWrap w:val="0"/>
            <w:vAlign w:val="center"/>
          </w:tcPr>
          <w:p>
            <w:pPr>
              <w:adjustRightInd w:val="0"/>
              <w:snapToGrid w:val="0"/>
              <w:rPr>
                <w:rFonts w:hint="eastAsia" w:ascii="仿宋" w:hAnsi="仿宋" w:eastAsia="仿宋" w:cs="仿宋"/>
                <w:color w:val="000000"/>
                <w:kern w:val="0"/>
                <w:szCs w:val="21"/>
              </w:rPr>
            </w:pPr>
            <w:r>
              <w:rPr>
                <w:rFonts w:hint="eastAsia" w:ascii="仿宋" w:hAnsi="仿宋" w:eastAsia="仿宋" w:cs="仿宋"/>
                <w:color w:val="000000"/>
                <w:kern w:val="0"/>
                <w:szCs w:val="21"/>
              </w:rPr>
              <w:t>高风险承受能力：您愿意承受高程度的本金损失风险和收益波动，以获取高额投资收益，适合投资于升值潜力高但投资价值波动大的投资工具。</w:t>
            </w:r>
          </w:p>
        </w:tc>
        <w:tc>
          <w:tcPr>
            <w:tcW w:w="2373" w:type="dxa"/>
            <w:tcBorders>
              <w:bottom w:val="single" w:color="auto" w:sz="4" w:space="0"/>
            </w:tcBorders>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PR1级、PR2级、PR3级、PR4级、PR5级</w:t>
            </w:r>
          </w:p>
        </w:tc>
      </w:tr>
    </w:tbl>
    <w:p>
      <w:pPr>
        <w:pStyle w:val="b7ed0cec"/>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代销机构投资者风险承受能力评估流程、风险承受能力评级结果及评级具体含义以代销机构告知的结果为准。</w:t>
      </w:r>
    </w:p>
    <w:p>
      <w:pPr>
        <w:pStyle w:val="b7ed0cec"/>
        <w:spacing w:line="360" w:lineRule="auto"/>
        <w:ind w:firstLine="420" w:firstLineChars="200"/>
        <w:rPr>
          <w:rFonts w:hint="eastAsia" w:ascii="仿宋" w:hAnsi="仿宋" w:eastAsia="仿宋" w:cs="仿宋"/>
          <w:szCs w:val="21"/>
        </w:rPr>
      </w:pPr>
      <w:r>
        <w:rPr>
          <w:rFonts w:hint="eastAsia" w:ascii="仿宋" w:hAnsi="仿宋" w:eastAsia="仿宋" w:cs="仿宋"/>
          <w:szCs w:val="21"/>
        </w:rPr>
        <w:t>您购买具体的理财产品，应签署投资协议书、销售（代理销售）协议书、产品说明书、风险揭示书和投资者权益须知等文件。</w:t>
      </w:r>
    </w:p>
    <w:p>
      <w:pPr>
        <w:pStyle w:val="b7ed0cec"/>
        <w:spacing w:line="360" w:lineRule="auto"/>
        <w:ind w:firstLine="420" w:firstLineChars="200"/>
        <w:rPr>
          <w:rFonts w:hint="eastAsia" w:ascii="仿宋" w:hAnsi="仿宋" w:eastAsia="仿宋" w:cs="仿宋"/>
          <w:szCs w:val="21"/>
        </w:rPr>
      </w:pPr>
      <w:r>
        <w:rPr>
          <w:rFonts w:hint="eastAsia" w:ascii="仿宋" w:hAnsi="仿宋" w:eastAsia="仿宋" w:cs="仿宋"/>
          <w:szCs w:val="21"/>
        </w:rPr>
        <w:t>三、有关理财产品</w:t>
      </w:r>
      <w:bookmarkStart w:id="0" w:name="_Hlk76302307"/>
      <w:r>
        <w:rPr>
          <w:rFonts w:hint="eastAsia" w:ascii="仿宋" w:hAnsi="仿宋" w:eastAsia="仿宋" w:cs="仿宋"/>
          <w:szCs w:val="21"/>
        </w:rPr>
        <w:t>的信息披露将通过</w:t>
      </w:r>
      <w:r>
        <w:rPr>
          <w:rFonts w:hint="eastAsia" w:ascii="仿宋" w:hAnsi="仿宋" w:eastAsia="仿宋" w:cs="仿宋"/>
          <w:b/>
          <w:szCs w:val="21"/>
        </w:rPr>
        <w:t>□</w:t>
      </w:r>
      <w:r>
        <w:rPr>
          <w:rFonts w:hint="eastAsia" w:ascii="仿宋" w:hAnsi="仿宋" w:eastAsia="仿宋" w:cs="仿宋"/>
          <w:szCs w:val="21"/>
        </w:rPr>
        <w:t>华夏理财官方网站（www.hxwm.com.cn）</w:t>
      </w:r>
      <w:r>
        <w:rPr>
          <w:rFonts w:hint="eastAsia" w:ascii="仿宋" w:hAnsi="仿宋" w:eastAsia="仿宋" w:cs="仿宋"/>
          <w:szCs w:val="21"/>
          <w:lang w:val="en-US" w:eastAsia="zh-CN"/>
        </w:rPr>
        <w:t>或</w:t>
      </w:r>
      <w:r>
        <w:rPr>
          <w:rFonts w:hint="eastAsia" w:ascii="仿宋" w:hAnsi="仿宋" w:eastAsia="仿宋" w:cs="仿宋"/>
          <w:b/>
          <w:szCs w:val="21"/>
        </w:rPr>
        <w:t>□</w:t>
      </w:r>
      <w:r>
        <w:rPr>
          <w:rFonts w:hint="eastAsia" w:ascii="仿宋" w:hAnsi="仿宋" w:eastAsia="仿宋" w:cs="仿宋"/>
          <w:szCs w:val="21"/>
        </w:rPr>
        <w:t>代销机构的信息披露渠道（包括代销机构的</w:t>
      </w:r>
      <w:r>
        <w:rPr>
          <w:rFonts w:hint="eastAsia" w:ascii="仿宋" w:hAnsi="仿宋" w:eastAsia="仿宋" w:cs="仿宋"/>
          <w:b/>
          <w:szCs w:val="21"/>
        </w:rPr>
        <w:t>□</w:t>
      </w:r>
      <w:r>
        <w:rPr>
          <w:rFonts w:hint="eastAsia" w:ascii="仿宋" w:hAnsi="仿宋" w:eastAsia="仿宋" w:cs="仿宋"/>
          <w:szCs w:val="21"/>
        </w:rPr>
        <w:t>营业网点、</w:t>
      </w:r>
      <w:r>
        <w:rPr>
          <w:rFonts w:hint="eastAsia" w:ascii="仿宋" w:hAnsi="仿宋" w:eastAsia="仿宋" w:cs="仿宋"/>
          <w:b/>
          <w:szCs w:val="21"/>
        </w:rPr>
        <w:t>□</w:t>
      </w:r>
      <w:r>
        <w:rPr>
          <w:rFonts w:hint="eastAsia" w:ascii="仿宋" w:hAnsi="仿宋" w:eastAsia="仿宋" w:cs="仿宋"/>
          <w:szCs w:val="21"/>
        </w:rPr>
        <w:t>门户网站、</w:t>
      </w:r>
      <w:r>
        <w:rPr>
          <w:rFonts w:hint="eastAsia" w:ascii="仿宋" w:hAnsi="仿宋" w:eastAsia="仿宋" w:cs="仿宋"/>
          <w:b/>
          <w:szCs w:val="21"/>
        </w:rPr>
        <w:t>□</w:t>
      </w:r>
      <w:r>
        <w:rPr>
          <w:rFonts w:hint="eastAsia" w:ascii="仿宋" w:hAnsi="仿宋" w:eastAsia="仿宋" w:cs="仿宋"/>
          <w:szCs w:val="21"/>
        </w:rPr>
        <w:t>电子销售渠道、</w:t>
      </w:r>
      <w:r>
        <w:rPr>
          <w:rFonts w:hint="eastAsia" w:ascii="仿宋" w:hAnsi="仿宋" w:eastAsia="仿宋" w:cs="仿宋"/>
          <w:b/>
          <w:szCs w:val="21"/>
        </w:rPr>
        <w:t>□</w:t>
      </w:r>
      <w:r>
        <w:rPr>
          <w:rFonts w:hint="eastAsia" w:ascii="仿宋" w:hAnsi="仿宋" w:eastAsia="仿宋" w:cs="仿宋"/>
          <w:b/>
          <w:szCs w:val="21"/>
          <w:u w:val="single"/>
        </w:rPr>
        <w:t xml:space="preserve">         </w:t>
      </w:r>
      <w:r>
        <w:rPr>
          <w:rFonts w:hint="eastAsia" w:ascii="仿宋" w:hAnsi="仿宋" w:eastAsia="仿宋" w:cs="仿宋"/>
          <w:szCs w:val="21"/>
        </w:rPr>
        <w:t>等）或与投资者约定的其他方式</w:t>
      </w:r>
      <w:bookmarkEnd w:id="0"/>
      <w:r>
        <w:rPr>
          <w:rFonts w:hint="eastAsia" w:ascii="仿宋" w:hAnsi="仿宋" w:eastAsia="仿宋" w:cs="仿宋"/>
          <w:szCs w:val="21"/>
        </w:rPr>
        <w:t>、渠道通知客户，具体方式、渠道及频率以理财产品说明书或本公司最新公告为准，请及时查询。</w:t>
      </w:r>
    </w:p>
    <w:p>
      <w:pPr>
        <w:pStyle w:val="b7ed0cec"/>
        <w:spacing w:line="360" w:lineRule="auto"/>
        <w:ind w:firstLine="420" w:firstLineChars="200"/>
        <w:rPr>
          <w:rFonts w:hint="eastAsia" w:ascii="仿宋" w:hAnsi="仿宋" w:eastAsia="仿宋" w:cs="仿宋"/>
          <w:szCs w:val="21"/>
        </w:rPr>
      </w:pPr>
      <w:r>
        <w:rPr>
          <w:rFonts w:hint="eastAsia" w:ascii="仿宋" w:hAnsi="仿宋" w:eastAsia="仿宋" w:cs="仿宋"/>
          <w:szCs w:val="21"/>
        </w:rPr>
        <w:t>四、如对本产品有任何意见或异议，请联系华夏理财/代销机构理财经理或反馈至华夏理财/代销机构营业网点，也可致电</w:t>
      </w:r>
      <w:r>
        <w:rPr>
          <w:rFonts w:hint="eastAsia" w:ascii="仿宋" w:hAnsi="仿宋" w:eastAsia="仿宋" w:cs="仿宋"/>
          <w:b/>
          <w:szCs w:val="21"/>
        </w:rPr>
        <w:t>□华夏理财客户服务热线（4001795577）□或</w:t>
      </w:r>
      <w:r>
        <w:rPr>
          <w:rFonts w:hint="eastAsia" w:ascii="仿宋" w:hAnsi="仿宋" w:eastAsia="仿宋" w:cs="仿宋"/>
          <w:b/>
          <w:szCs w:val="21"/>
          <w:u w:val="single"/>
        </w:rPr>
        <w:t xml:space="preserve"> </w:t>
      </w:r>
      <w:r>
        <w:rPr>
          <w:rFonts w:hint="eastAsia" w:ascii="微软简仿宋" w:hAnsi="宋体" w:eastAsia="微软简仿宋"/>
          <w:b/>
          <w:szCs w:val="21"/>
          <w:u w:val="single"/>
        </w:rPr>
        <w:t>厦门银行股份有限公司</w:t>
      </w:r>
      <w:r>
        <w:rPr>
          <w:rFonts w:hint="eastAsia" w:ascii="仿宋" w:hAnsi="仿宋" w:eastAsia="仿宋" w:cs="仿宋"/>
          <w:b/>
          <w:szCs w:val="21"/>
          <w:u w:val="single"/>
        </w:rPr>
        <w:t xml:space="preserve"> </w:t>
      </w:r>
      <w:bookmarkStart w:id="1" w:name="_GoBack"/>
      <w:bookmarkEnd w:id="1"/>
      <w:r>
        <w:rPr>
          <w:rFonts w:hint="eastAsia" w:ascii="仿宋" w:hAnsi="仿宋" w:eastAsia="仿宋" w:cs="仿宋"/>
          <w:b/>
          <w:szCs w:val="21"/>
          <w:u w:val="single"/>
        </w:rPr>
        <w:t xml:space="preserve">  </w:t>
      </w:r>
      <w:r>
        <w:rPr>
          <w:rFonts w:hint="eastAsia" w:ascii="仿宋" w:hAnsi="仿宋" w:eastAsia="仿宋" w:cs="仿宋"/>
          <w:b/>
          <w:szCs w:val="21"/>
        </w:rPr>
        <w:t>代销机构客户服务热线，华夏理财或代销机构将及时受理并给予回复</w:t>
      </w:r>
      <w:r>
        <w:rPr>
          <w:rFonts w:hint="eastAsia" w:ascii="仿宋" w:hAnsi="仿宋" w:eastAsia="仿宋" w:cs="仿宋"/>
          <w:szCs w:val="21"/>
        </w:rPr>
        <w:t>。</w:t>
      </w:r>
    </w:p>
    <w:p>
      <w:pPr>
        <w:pStyle w:val="b7ed0cec"/>
        <w:spacing w:line="360" w:lineRule="auto"/>
        <w:rPr>
          <w:rFonts w:hint="eastAsia" w:ascii="仿宋" w:hAnsi="仿宋" w:eastAsia="仿宋" w:cs="仿宋"/>
          <w:szCs w:val="21"/>
        </w:rPr>
      </w:pPr>
    </w:p>
    <w:p>
      <w:pPr>
        <w:pStyle w:val="b7ed0cec"/>
        <w:spacing w:line="360" w:lineRule="auto"/>
        <w:rPr>
          <w:rFonts w:hint="eastAsia" w:ascii="仿宋" w:hAnsi="仿宋" w:eastAsia="仿宋" w:cs="仿宋"/>
          <w:szCs w:val="21"/>
        </w:rPr>
      </w:pPr>
    </w:p>
    <w:p>
      <w:pPr>
        <w:pStyle w:val="b7ed0cec"/>
        <w:spacing w:line="360" w:lineRule="auto"/>
        <w:rPr>
          <w:rFonts w:hint="eastAsia" w:ascii="仿宋" w:hAnsi="仿宋" w:eastAsia="仿宋" w:cs="仿宋"/>
          <w:szCs w:val="21"/>
        </w:rPr>
      </w:pPr>
    </w:p>
    <w:p>
      <w:pPr>
        <w:pStyle w:val="b7ed0cec"/>
        <w:spacing w:line="360" w:lineRule="auto"/>
        <w:ind w:firstLine="5285"/>
        <w:jc w:val="right"/>
        <w:rPr>
          <w:rFonts w:hint="eastAsia" w:ascii="仿宋" w:hAnsi="仿宋" w:eastAsia="仿宋" w:cs="仿宋"/>
          <w:b/>
          <w:bCs/>
          <w:szCs w:val="21"/>
        </w:rPr>
      </w:pPr>
      <w:r>
        <w:rPr>
          <w:rFonts w:hint="eastAsia" w:ascii="仿宋" w:hAnsi="仿宋" w:eastAsia="仿宋" w:cs="仿宋"/>
          <w:b/>
          <w:bCs/>
          <w:szCs w:val="21"/>
        </w:rPr>
        <w:t>告知方：华夏理财有限责任公司</w:t>
      </w:r>
    </w:p>
    <w:p>
      <w:pPr>
        <w:pStyle w:val="b7ed0cec"/>
        <w:pageBreakBefore w:val="true"/>
      </w:pPr>
    </w:p>
    <w:p>
      <w:pPr>
        <w:pStyle w:val="bd1d9df9"/>
        <w:spacing w:line="360" w:lineRule="auto"/>
        <w:jc w:val="left"/>
        <w:rPr>
          <w:rFonts w:hint="eastAsia" w:ascii="仿宋" w:hAnsi="仿宋" w:eastAsia="仿宋" w:cs="仿宋"/>
          <w:bCs/>
          <w:sz w:val="32"/>
          <w:szCs w:val="21"/>
        </w:rPr>
      </w:pPr>
      <w:r>
        <w:rPr>
          <w:rFonts w:ascii="微软简标宋"/>
          <w:sz w:val="36"/>
        </w:rPr>
        <w:pict>
          <v:shape id="_x0000_i1025" o:spt="75" type="#_x0000_t75" style="height:36.6pt;width:217.8pt;" filled="f" o:preferrelative="t" stroked="f" coordsize="21600,21600">
            <v:path/>
            <v:fill on="f" focussize="0,0"/>
            <v:stroke on="f"/>
            <v:imagedata r:id="rId3" o:title=""/>
            <o:lock v:ext="edit" grouping="f" rotation="f" text="f" aspectratio="t"/>
            <w10:wrap type="none"/>
            <w10:anchorlock/>
          </v:shape>
        </w:pict>
      </w:r>
    </w:p>
    <w:p>
      <w:pPr>
        <w:pStyle w:val="bd1d9df9"/>
        <w:spacing w:line="360" w:lineRule="auto"/>
        <w:jc w:val="center"/>
        <w:rPr>
          <w:rFonts w:hint="eastAsia" w:ascii="方正小标宋_GBK" w:hAnsi="方正小标宋_GBK" w:eastAsia="方正小标宋_GBK" w:cs="方正小标宋_GBK"/>
          <w:bCs/>
          <w:sz w:val="32"/>
          <w:szCs w:val="21"/>
        </w:rPr>
      </w:pPr>
      <w:r>
        <w:rPr>
          <w:rFonts w:hint="eastAsia" w:ascii="方正小标宋_GBK" w:hAnsi="方正小标宋_GBK" w:eastAsia="方正小标宋_GBK" w:cs="方正小标宋_GBK"/>
          <w:bCs/>
          <w:sz w:val="32"/>
          <w:szCs w:val="21"/>
        </w:rPr>
        <w:t>华夏理财有限责任公司理财产品投资协议书</w:t>
      </w:r>
    </w:p>
    <w:p>
      <w:pPr>
        <w:pStyle w:val="bd1d9df9"/>
        <w:spacing w:line="360" w:lineRule="auto"/>
        <w:jc w:val="center"/>
        <w:rPr>
          <w:rFonts w:ascii="微软简标宋" w:eastAsia="微软简标宋"/>
          <w:b/>
          <w:sz w:val="32"/>
          <w:szCs w:val="21"/>
        </w:rPr>
      </w:pPr>
      <w:r>
        <w:rPr>
          <w:rFonts w:hint="eastAsia" w:ascii="仿宋" w:eastAsia="仿宋" w:cs="仿宋"/>
          <w:kern w:val="0"/>
          <w:sz w:val="24"/>
          <w:szCs w:val="24"/>
        </w:rPr>
        <w:t>理财非存款、产品有风险、投资须谨慎。</w:t>
      </w:r>
    </w:p>
    <w:p>
      <w:pPr>
        <w:pStyle w:val="bd1d9df9"/>
        <w:adjustRightInd w:val="0"/>
        <w:snapToGrid w:val="0"/>
        <w:spacing w:line="360" w:lineRule="auto"/>
        <w:jc w:val="center"/>
        <w:rPr>
          <w:rFonts w:hint="eastAsia" w:ascii="仿宋" w:hAnsi="仿宋" w:eastAsia="仿宋" w:cs="仿宋"/>
          <w:b/>
          <w:szCs w:val="21"/>
        </w:rPr>
      </w:pPr>
    </w:p>
    <w:p>
      <w:pPr>
        <w:pStyle w:val="bd1d9df9"/>
        <w:adjustRightInd w:val="0"/>
        <w:snapToGrid w:val="0"/>
        <w:spacing w:line="360" w:lineRule="auto"/>
        <w:jc w:val="center"/>
        <w:rPr>
          <w:rFonts w:hint="eastAsia" w:ascii="仿宋" w:hAnsi="仿宋" w:eastAsia="仿宋" w:cs="仿宋"/>
          <w:b/>
          <w:szCs w:val="21"/>
        </w:rPr>
      </w:pPr>
      <w:r>
        <w:rPr>
          <w:rFonts w:hint="eastAsia" w:ascii="仿宋" w:hAnsi="仿宋" w:eastAsia="仿宋" w:cs="仿宋"/>
          <w:b/>
          <w:szCs w:val="21"/>
        </w:rPr>
        <w:t>重要提示</w:t>
      </w:r>
    </w:p>
    <w:p>
      <w:pPr>
        <w:pStyle w:val="bd1d9df9"/>
        <w:adjustRightInd w:val="0"/>
        <w:snapToGrid w:val="0"/>
        <w:spacing w:line="360" w:lineRule="auto"/>
        <w:ind w:firstLine="422" w:firstLineChars="200"/>
        <w:rPr>
          <w:rFonts w:hint="eastAsia" w:ascii="仿宋" w:hAnsi="仿宋" w:eastAsia="仿宋" w:cs="仿宋"/>
          <w:szCs w:val="21"/>
        </w:rPr>
      </w:pPr>
      <w:r>
        <w:rPr>
          <w:rFonts w:hint="eastAsia" w:ascii="仿宋" w:hAnsi="仿宋" w:eastAsia="仿宋" w:cs="仿宋"/>
          <w:b/>
          <w:szCs w:val="21"/>
        </w:rPr>
        <w:t>尊敬的投资者：为了维护您的权益，请在签署本协议前，仔细阅读本协议各条款（特别是含有黑体文字的条款）。如您有疑问或不明之处，请向理财产品销售机构或华夏理财有限责任公司咨询。如需业务咨询和投诉，请拨打华夏理财客户服务热线（4001795577）、□或</w:t>
      </w:r>
      <w:r>
        <w:rPr>
          <w:rFonts w:hint="eastAsia" w:ascii="微软简仿宋" w:eastAsia="微软简仿宋"/>
          <w:color w:val="000000"/>
          <w:szCs w:val="21"/>
          <w:u w:val="single"/>
        </w:rPr>
        <w:t xml:space="preserve"> </w:t>
      </w:r>
      <w:r>
        <w:rPr>
          <w:rFonts w:ascii="微软简仿宋" w:eastAsia="微软简仿宋"/>
          <w:color w:val="000000"/>
          <w:szCs w:val="21"/>
          <w:u w:val="single"/>
        </w:rPr>
        <w:t>厦门银行股份有限公司</w:t>
      </w:r>
      <w:bookmarkStart w:id="1" w:name="_GoBack"/>
      <w:bookmarkEnd w:id="1"/>
      <w:r>
        <w:rPr>
          <w:rFonts w:hint="eastAsia" w:ascii="仿宋" w:hAnsi="仿宋" w:eastAsia="仿宋" w:cs="仿宋"/>
          <w:color w:val="000000"/>
          <w:szCs w:val="21"/>
          <w:u w:val="single"/>
        </w:rPr>
        <w:t xml:space="preserve"> </w:t>
      </w:r>
      <w:r>
        <w:rPr>
          <w:rFonts w:hint="eastAsia" w:ascii="仿宋" w:hAnsi="仿宋" w:eastAsia="仿宋" w:cs="仿宋"/>
          <w:b/>
          <w:szCs w:val="21"/>
        </w:rPr>
        <w:t>代销机构客户服务热线。</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提请您在购买理财产品前特别注意以下事项：</w:t>
      </w:r>
    </w:p>
    <w:p>
      <w:pPr>
        <w:pStyle w:val="bd1d9df9"/>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1</w:t>
      </w:r>
      <w:r>
        <w:rPr>
          <w:rFonts w:hint="eastAsia" w:ascii="仿宋" w:hAnsi="仿宋" w:eastAsia="仿宋" w:cs="仿宋"/>
          <w:bCs/>
          <w:color w:val="000000"/>
          <w:szCs w:val="21"/>
        </w:rPr>
        <w:t>.</w:t>
      </w:r>
      <w:r>
        <w:rPr>
          <w:rFonts w:hint="eastAsia" w:ascii="仿宋" w:hAnsi="仿宋" w:eastAsia="仿宋" w:cs="仿宋"/>
          <w:b/>
          <w:color w:val="000000"/>
          <w:szCs w:val="21"/>
        </w:rPr>
        <w:t>理财产品不保证本金和收益，投资者的本金可能会因市场变动而蒙受损失，投资者应充分理解产品的风险评级含义，充分认识投资风险，谨慎投资。</w:t>
      </w:r>
    </w:p>
    <w:p>
      <w:pPr>
        <w:pStyle w:val="bd1d9df9"/>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2</w:t>
      </w:r>
      <w:r>
        <w:rPr>
          <w:rFonts w:hint="eastAsia" w:ascii="仿宋" w:hAnsi="仿宋" w:eastAsia="仿宋" w:cs="仿宋"/>
          <w:bCs/>
          <w:color w:val="000000"/>
          <w:szCs w:val="21"/>
        </w:rPr>
        <w:t>.</w:t>
      </w:r>
      <w:r>
        <w:rPr>
          <w:rFonts w:hint="eastAsia" w:ascii="仿宋" w:hAnsi="仿宋" w:eastAsia="仿宋" w:cs="仿宋"/>
          <w:b/>
          <w:color w:val="000000"/>
          <w:szCs w:val="21"/>
        </w:rPr>
        <w:t>本协议中的任何业绩比较基准、测算收益、目标收益或类似表述均不代表投资者可能获得的实际收益，亦不构成华夏理财有限责任公司对理财产品的任何收益承诺。</w:t>
      </w:r>
    </w:p>
    <w:p>
      <w:pPr>
        <w:pStyle w:val="bd1d9df9"/>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3</w:t>
      </w:r>
      <w:r>
        <w:rPr>
          <w:rFonts w:hint="eastAsia" w:ascii="仿宋" w:hAnsi="仿宋" w:eastAsia="仿宋" w:cs="仿宋"/>
          <w:bCs/>
          <w:color w:val="000000"/>
          <w:szCs w:val="21"/>
        </w:rPr>
        <w:t>.</w:t>
      </w:r>
      <w:r>
        <w:rPr>
          <w:rFonts w:hint="eastAsia" w:ascii="仿宋" w:hAnsi="仿宋" w:eastAsia="仿宋" w:cs="仿宋"/>
          <w:b/>
          <w:color w:val="000000"/>
          <w:szCs w:val="21"/>
        </w:rPr>
        <w:t>理财产品的过往平均业绩和最好、最差业绩或类似表述均不代表甲方最终获得的实际收益，亦不构成乙方对理财产品本金和收益的任何承诺或保证。风险等级或结构相同的同类理财产品既往的业绩并不代表甲方可预期的收益。</w:t>
      </w:r>
    </w:p>
    <w:p>
      <w:pPr>
        <w:pStyle w:val="bd1d9df9"/>
        <w:adjustRightInd w:val="0"/>
        <w:snapToGrid w:val="0"/>
        <w:spacing w:line="360" w:lineRule="auto"/>
        <w:ind w:firstLine="422" w:firstLineChars="200"/>
        <w:rPr>
          <w:rFonts w:hint="eastAsia" w:ascii="仿宋" w:hAnsi="仿宋" w:eastAsia="仿宋" w:cs="仿宋"/>
          <w:bCs/>
          <w:color w:val="000000"/>
          <w:szCs w:val="21"/>
        </w:rPr>
      </w:pPr>
      <w:r>
        <w:rPr>
          <w:rFonts w:hint="eastAsia" w:ascii="仿宋" w:hAnsi="仿宋" w:eastAsia="仿宋" w:cs="仿宋"/>
          <w:b/>
          <w:color w:val="000000"/>
          <w:szCs w:val="21"/>
        </w:rPr>
        <w:t>4</w:t>
      </w:r>
      <w:r>
        <w:rPr>
          <w:rFonts w:hint="eastAsia" w:ascii="仿宋" w:hAnsi="仿宋" w:eastAsia="仿宋" w:cs="仿宋"/>
          <w:bCs/>
          <w:color w:val="000000"/>
          <w:szCs w:val="21"/>
        </w:rPr>
        <w:t>.请认真阅读本协议，全面了解各条款，特别注意含有黑体字标题或黑体字文字的条款。</w:t>
      </w:r>
    </w:p>
    <w:p>
      <w:pPr>
        <w:pStyle w:val="bd1d9df9"/>
        <w:adjustRightInd w:val="0"/>
        <w:snapToGrid w:val="0"/>
        <w:spacing w:line="360" w:lineRule="auto"/>
        <w:ind w:firstLine="422" w:firstLineChars="200"/>
        <w:jc w:val="left"/>
        <w:rPr>
          <w:rFonts w:hint="eastAsia" w:ascii="仿宋" w:hAnsi="仿宋" w:eastAsia="仿宋" w:cs="仿宋"/>
          <w:b/>
          <w:color w:val="000000"/>
          <w:szCs w:val="21"/>
        </w:rPr>
      </w:pP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甲方（即购买理财产品的投资者）本着自主决策、自愿委托、风险自担的原则，委托乙方（华夏理财有限责任公司）按照本协议、理财产品说明书、风险揭示书等理财产品销售文件约定的投资策略、风险承担和收益分配方式，对甲方托付的财产进行投资和管理。乙方按照理财产品销售文件约定和实际投资收益向甲方支付收益，乙方不保证本金支付和收益水平。为明确双方的权利义务，经平等协商签订本协议。</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本协议与理财产品说明书、风险揭示书、销售（代理销售）协议书、投资者权益须知及理财产品销售机构提供的其他理财产品交易单据共同构成完整的不可分割的理财销售文件，具有同等法律效力。本协议与理财产品说明书不一致的，以理财产品说明书为准；本协议未及事项，以理财产品说明书、风险揭示书、销售（代理销售）协议书等相关文件约定为准。</w:t>
      </w:r>
    </w:p>
    <w:p>
      <w:pPr>
        <w:pStyle w:val="bd1d9df9"/>
        <w:adjustRightInd w:val="0"/>
        <w:snapToGrid w:val="0"/>
        <w:spacing w:line="360" w:lineRule="auto"/>
        <w:ind w:firstLine="422" w:firstLineChars="200"/>
        <w:rPr>
          <w:rFonts w:hint="eastAsia" w:ascii="仿宋" w:hAnsi="仿宋" w:eastAsia="仿宋" w:cs="仿宋"/>
          <w:color w:val="000000"/>
          <w:szCs w:val="21"/>
        </w:rPr>
      </w:pPr>
      <w:r>
        <w:rPr>
          <w:rFonts w:hint="eastAsia" w:ascii="仿宋" w:hAnsi="仿宋" w:eastAsia="仿宋" w:cs="仿宋"/>
          <w:b/>
          <w:color w:val="000000"/>
          <w:szCs w:val="21"/>
        </w:rPr>
        <w:t>理财非存款、产品有风险、投资须谨慎。</w:t>
      </w:r>
      <w:r>
        <w:rPr>
          <w:rFonts w:hint="eastAsia" w:ascii="仿宋" w:hAnsi="仿宋" w:eastAsia="仿宋" w:cs="仿宋"/>
          <w:bCs/>
          <w:color w:val="000000"/>
          <w:szCs w:val="21"/>
        </w:rPr>
        <w:t>理财产品销售、投资运作过程中的风险因素详见理财产品说明书、风险揭示书，甲方应仔细阅读产品说明书、风险揭示书详细条款并充分理解理财投资可能发生的风险。</w:t>
      </w:r>
    </w:p>
    <w:p>
      <w:pPr>
        <w:pStyle w:val="bd1d9df9"/>
        <w:adjustRightInd w:val="0"/>
        <w:snapToGrid w:val="0"/>
        <w:spacing w:line="360" w:lineRule="auto"/>
        <w:ind w:firstLine="422" w:firstLineChars="200"/>
        <w:outlineLvl w:val="0"/>
        <w:rPr>
          <w:rFonts w:hint="eastAsia" w:ascii="仿宋" w:hAnsi="仿宋" w:eastAsia="仿宋" w:cs="仿宋"/>
          <w:b/>
          <w:color w:val="000000"/>
          <w:szCs w:val="21"/>
        </w:rPr>
      </w:pPr>
      <w:r>
        <w:rPr>
          <w:rFonts w:hint="eastAsia" w:ascii="仿宋" w:hAnsi="仿宋" w:eastAsia="仿宋" w:cs="仿宋"/>
          <w:b/>
          <w:color w:val="000000"/>
          <w:szCs w:val="21"/>
        </w:rPr>
        <w:t>一、声明与保证</w:t>
      </w:r>
    </w:p>
    <w:p>
      <w:pPr>
        <w:pStyle w:val="bd1d9df9"/>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（一）甲方声明：</w:t>
      </w:r>
    </w:p>
    <w:p>
      <w:pPr>
        <w:pStyle w:val="bd1d9df9"/>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1.当甲方为非机构投资者时，甲方声明具有完全民事行为能力，如甲方为普通投资者或乙方/理财产品销售机构认为应当进行风险承受能力评估的专业投资者的，甲方在签订本协议前已在理财产品销售机构完成风险承受能力评估，并获知理财产品销售机构对甲方的风险承受能力评估结果，确认甲方本人的风险承受能力，完全理解拟投资理财产品的基本信息和相应风险。</w:t>
      </w:r>
    </w:p>
    <w:p>
      <w:pPr>
        <w:pStyle w:val="bd1d9df9"/>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2.甲方声明已阅知本协议，甲方已完全知晓并充分理解甲乙双方的权利、义务，充分理解理财投资的风险，接受并签署本协议及其他理财产品销售文件。</w:t>
      </w:r>
    </w:p>
    <w:p>
      <w:pPr>
        <w:pStyle w:val="bd1d9df9"/>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3</w:t>
      </w:r>
      <w:r>
        <w:rPr>
          <w:rFonts w:hint="eastAsia" w:ascii="仿宋" w:hAnsi="仿宋" w:eastAsia="仿宋" w:cs="仿宋"/>
          <w:bCs/>
          <w:color w:val="000000"/>
          <w:szCs w:val="21"/>
        </w:rPr>
        <w:t>.</w:t>
      </w:r>
      <w:r>
        <w:rPr>
          <w:rFonts w:hint="eastAsia" w:ascii="仿宋" w:hAnsi="仿宋" w:eastAsia="仿宋" w:cs="仿宋"/>
          <w:b/>
          <w:color w:val="000000"/>
          <w:szCs w:val="21"/>
        </w:rPr>
        <w:t>甲方声明，甲方的投资决策由甲方基于自身判断独立、自主、谨慎做出的，并已知晓且能够承担产品可能出现的各种风险，愿意并能承担风险。</w:t>
      </w:r>
    </w:p>
    <w:p>
      <w:pPr>
        <w:pStyle w:val="bd1d9df9"/>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4.甲方若为非机构投资者，甲方声明以合法持有的自有资金购买乙方发行的理财产品。</w:t>
      </w:r>
    </w:p>
    <w:p>
      <w:pPr>
        <w:pStyle w:val="bd1d9df9"/>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5.甲方若为机构投资者（含资产管理产品），甲方声明以合法持有的自有资金或合法募集资金购买乙方发行的理财产品。</w:t>
      </w:r>
    </w:p>
    <w:p>
      <w:pPr>
        <w:pStyle w:val="bd1d9df9"/>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6.甲方声明认可本协议及其他理财产品销售文件约定的信息披露途径，已知悉甲方应注意查询的事项，并同意乙方按照本协议及理财产品销售文件约定进行相关通知和信息披露。</w:t>
      </w:r>
    </w:p>
    <w:p>
      <w:pPr>
        <w:pStyle w:val="bd1d9df9"/>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7</w:t>
      </w:r>
      <w:r>
        <w:rPr>
          <w:rFonts w:hint="eastAsia" w:ascii="仿宋" w:hAnsi="仿宋" w:eastAsia="仿宋" w:cs="仿宋"/>
          <w:bCs/>
          <w:color w:val="000000"/>
          <w:szCs w:val="21"/>
        </w:rPr>
        <w:t>.</w:t>
      </w:r>
      <w:r>
        <w:rPr>
          <w:rFonts w:hint="eastAsia" w:ascii="仿宋" w:hAnsi="仿宋" w:eastAsia="仿宋" w:cs="仿宋"/>
          <w:b/>
          <w:color w:val="000000"/>
          <w:szCs w:val="21"/>
        </w:rPr>
        <w:t>甲方声明当甲方通过理财产品销售机构的网上银行、手机银行、APP等电子销售渠道购买理财产品时，甲方认可其在销售机构电子渠道点击确认同意的理财产品销售文件的合法有效性，认可电子签约与纸质签署具有同等效力。</w:t>
      </w:r>
    </w:p>
    <w:p>
      <w:pPr>
        <w:pStyle w:val="bd1d9df9"/>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8</w:t>
      </w:r>
      <w:r>
        <w:rPr>
          <w:rFonts w:hint="eastAsia" w:ascii="仿宋" w:hAnsi="仿宋" w:eastAsia="仿宋" w:cs="仿宋"/>
          <w:bCs/>
          <w:color w:val="000000"/>
          <w:szCs w:val="21"/>
        </w:rPr>
        <w:t>.</w:t>
      </w:r>
      <w:r>
        <w:rPr>
          <w:rFonts w:hint="eastAsia" w:ascii="仿宋" w:hAnsi="仿宋" w:eastAsia="仿宋" w:cs="仿宋"/>
          <w:b/>
          <w:color w:val="000000"/>
          <w:szCs w:val="21"/>
        </w:rPr>
        <w:t>甲方声明同意理财产品销售机构记录（记录方式包括但不限于录音、录像、录屏等）甲方操作行为（包括但不限于购买、赎回、撤单、修改分红方式等业务），并确认以上记录在双方发生争议时可作为合法有效的证据使用。</w:t>
      </w:r>
    </w:p>
    <w:p>
      <w:pPr>
        <w:pStyle w:val="bd1d9df9"/>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（二）乙方声明与保证：</w:t>
      </w:r>
    </w:p>
    <w:p>
      <w:pPr>
        <w:pStyle w:val="bd1d9df9"/>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乙方声明按照监管要求及理财产品说明书约定，恪尽职守、诚实信用、谨慎勤勉地管理理财产品，但不保证理财产品一定盈利或不会亏损，也不保证最低收益。</w:t>
      </w:r>
    </w:p>
    <w:p>
      <w:pPr>
        <w:pStyle w:val="bd1d9df9"/>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二、名词释义</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理财产品：指由乙方按照理财产品销售文件约定的条件和实际投资收益情况向投资者支付收益、不保证本金支付和收益水平的非保本理财产品。产品的具体细节详见理财产品说明书、风险揭示书、投资者权益须知。</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Cs/>
          <w:color w:val="000000"/>
          <w:szCs w:val="21"/>
        </w:rPr>
        <w:t>.</w:t>
      </w:r>
      <w:r>
        <w:rPr>
          <w:rFonts w:hint="eastAsia" w:ascii="仿宋" w:hAnsi="仿宋" w:eastAsia="仿宋" w:cs="仿宋"/>
          <w:color w:val="000000"/>
          <w:szCs w:val="21"/>
        </w:rPr>
        <w:t>公募理财产品：根据募集方式不同，将理财产品分为公募理财产品和私募理财产品。公募理财产品指面向不特定社会公众公开发行的理财产品。</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私募理财产品：根据募集方式不同，将理财产品分为公募理财产品和私募理财产品。私募理财产品指面向合格投资者非公开发行的理财产品。</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w:t>
      </w:r>
      <w:r>
        <w:rPr>
          <w:rFonts w:hint="eastAsia" w:ascii="仿宋" w:hAnsi="仿宋" w:eastAsia="仿宋" w:cs="仿宋"/>
          <w:bCs/>
          <w:color w:val="000000"/>
          <w:szCs w:val="21"/>
        </w:rPr>
        <w:t>.</w:t>
      </w:r>
      <w:r>
        <w:rPr>
          <w:rFonts w:hint="eastAsia" w:ascii="仿宋" w:hAnsi="仿宋" w:eastAsia="仿宋" w:cs="仿宋"/>
          <w:color w:val="000000"/>
          <w:szCs w:val="21"/>
        </w:rPr>
        <w:t>合格投资者：合格投资者是指具备相应风险识别能力和风险承受能力，投资于单只理财产品不低于一定金额且符合下列条件的自然人、法人或者依法成立的其他组织：</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（1）具有2年以上投资经历，且满足家庭金融净资产不低于300万元人民币，或者家庭金融资产不低于500万元人民币，或者近3年本人年均收入不低于40万元人民币；</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（2）最近1年末净资产不低于1000万元人民币的法人或者依法成立的其他组织；</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（3）国务院银行业监督管理机构规定的其他情形。</w:t>
      </w:r>
    </w:p>
    <w:p>
      <w:pPr>
        <w:pStyle w:val="bd1d9df9"/>
        <w:adjustRightInd w:val="0"/>
        <w:snapToGri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5.专业投资者：符合下列条件之一的</w:t>
      </w:r>
      <w:r>
        <w:rPr>
          <w:rFonts w:ascii="仿宋" w:hAnsi="仿宋" w:eastAsia="仿宋" w:cs="仿宋"/>
          <w:color w:val="000000"/>
          <w:szCs w:val="21"/>
        </w:rPr>
        <w:t>投资者</w:t>
      </w:r>
      <w:r>
        <w:rPr>
          <w:rFonts w:hint="eastAsia" w:ascii="仿宋" w:hAnsi="仿宋" w:eastAsia="仿宋" w:cs="仿宋"/>
          <w:color w:val="000000"/>
          <w:szCs w:val="21"/>
        </w:rPr>
        <w:t>是专业投资者，</w:t>
      </w:r>
      <w:r>
        <w:rPr>
          <w:rFonts w:ascii="仿宋" w:hAnsi="仿宋" w:eastAsia="仿宋" w:cs="仿宋"/>
          <w:color w:val="000000"/>
          <w:szCs w:val="21"/>
        </w:rPr>
        <w:t>专业投资者之外的投资者为普通投资者。</w:t>
      </w:r>
    </w:p>
    <w:p>
      <w:pPr>
        <w:pStyle w:val="bd1d9df9"/>
        <w:adjustRightInd w:val="0"/>
        <w:snapToGrid w:val="0"/>
        <w:spacing w:line="360" w:lineRule="exact"/>
        <w:ind w:firstLine="420" w:firstLineChars="200"/>
        <w:rPr>
          <w:rFonts w:ascii="仿宋" w:hAnsi="仿宋" w:eastAsia="仿宋" w:cs="仿宋"/>
          <w:color w:val="000000"/>
          <w:szCs w:val="21"/>
        </w:rPr>
      </w:pPr>
      <w:r>
        <w:rPr>
          <w:rFonts w:ascii="仿宋" w:hAnsi="仿宋" w:eastAsia="仿宋" w:cs="仿宋"/>
          <w:color w:val="000000"/>
          <w:szCs w:val="21"/>
        </w:rPr>
        <w:t>（</w:t>
      </w:r>
      <w:r>
        <w:rPr>
          <w:rFonts w:hint="eastAsia" w:ascii="仿宋" w:hAnsi="仿宋" w:eastAsia="仿宋" w:cs="仿宋"/>
          <w:color w:val="000000"/>
          <w:szCs w:val="21"/>
        </w:rPr>
        <w:t>1</w:t>
      </w:r>
      <w:r>
        <w:rPr>
          <w:rFonts w:ascii="仿宋" w:hAnsi="仿宋" w:eastAsia="仿宋" w:cs="仿宋"/>
          <w:color w:val="000000"/>
          <w:szCs w:val="21"/>
        </w:rPr>
        <w:t>）银行业金融机构、保险业金融机构、金融控股公司、证券基金期货经营机构、私募基金管理人；</w:t>
      </w:r>
    </w:p>
    <w:p>
      <w:pPr>
        <w:pStyle w:val="bd1d9df9"/>
        <w:adjustRightInd w:val="0"/>
        <w:snapToGrid w:val="0"/>
        <w:spacing w:line="360" w:lineRule="exact"/>
        <w:ind w:firstLine="420" w:firstLineChars="200"/>
        <w:rPr>
          <w:rFonts w:ascii="仿宋" w:hAnsi="仿宋" w:eastAsia="仿宋" w:cs="仿宋"/>
          <w:color w:val="000000"/>
          <w:szCs w:val="21"/>
        </w:rPr>
      </w:pPr>
      <w:r>
        <w:rPr>
          <w:rFonts w:ascii="仿宋" w:hAnsi="仿宋" w:eastAsia="仿宋" w:cs="仿宋"/>
          <w:color w:val="000000"/>
          <w:szCs w:val="21"/>
        </w:rPr>
        <w:t>（</w:t>
      </w:r>
      <w:r>
        <w:rPr>
          <w:rFonts w:hint="eastAsia" w:ascii="仿宋" w:hAnsi="仿宋" w:eastAsia="仿宋" w:cs="仿宋"/>
          <w:color w:val="000000"/>
          <w:szCs w:val="21"/>
        </w:rPr>
        <w:t>2</w:t>
      </w:r>
      <w:r>
        <w:rPr>
          <w:rFonts w:ascii="仿宋" w:hAnsi="仿宋" w:eastAsia="仿宋" w:cs="仿宋"/>
          <w:color w:val="000000"/>
          <w:szCs w:val="21"/>
        </w:rPr>
        <w:t>）上述机构面向投资者发行的金融产品，信托公司管理的资产服务信托、公益慈善信托；</w:t>
      </w:r>
    </w:p>
    <w:p>
      <w:pPr>
        <w:pStyle w:val="bd1d9df9"/>
        <w:adjustRightInd w:val="0"/>
        <w:snapToGrid w:val="0"/>
        <w:spacing w:line="360" w:lineRule="exact"/>
        <w:ind w:firstLine="420" w:firstLineChars="200"/>
        <w:rPr>
          <w:rFonts w:ascii="仿宋" w:hAnsi="仿宋" w:eastAsia="仿宋" w:cs="仿宋"/>
          <w:color w:val="000000"/>
          <w:szCs w:val="21"/>
        </w:rPr>
      </w:pPr>
      <w:r>
        <w:rPr>
          <w:rFonts w:ascii="仿宋" w:hAnsi="仿宋" w:eastAsia="仿宋" w:cs="仿宋"/>
          <w:color w:val="000000"/>
          <w:szCs w:val="21"/>
        </w:rPr>
        <w:t>（</w:t>
      </w:r>
      <w:r>
        <w:rPr>
          <w:rFonts w:hint="eastAsia" w:ascii="仿宋" w:hAnsi="仿宋" w:eastAsia="仿宋" w:cs="仿宋"/>
          <w:color w:val="000000"/>
          <w:szCs w:val="21"/>
        </w:rPr>
        <w:t>3</w:t>
      </w:r>
      <w:r>
        <w:rPr>
          <w:rFonts w:ascii="仿宋" w:hAnsi="仿宋" w:eastAsia="仿宋" w:cs="仿宋"/>
          <w:color w:val="000000"/>
          <w:szCs w:val="21"/>
        </w:rPr>
        <w:t>）社会保障基金、企业年金、职业年金等养老基金，慈善基金等社会公益基金，合格境外机构投资者（QFII）、人民币合格境外机构投资者（RQFII）。</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Cs/>
          <w:color w:val="000000"/>
          <w:szCs w:val="21"/>
        </w:rPr>
        <w:t>协议的当事人：包括理财产品管理人和理财产品投资者。</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7.理财产品管理人或产品管理人或乙方：指华夏理财有限责任公司。</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8.投资者或甲方：指理财产品投资者。</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9.托管人：指乙方选定的托管机构。具体托管机构名称、托管费以及其他事项以理财产品说明书约定为准。</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10.理财产品销售机构或销售机构：包括乙方及乙方委托的理财产品代理销售机构。具体销售机构名称、销售费率以及其他事项以销售（代理销售）协议书、理财产品说明书以及乙方最新公告约定为准。</w:t>
      </w:r>
    </w:p>
    <w:p>
      <w:pPr>
        <w:pStyle w:val="bd1d9df9"/>
        <w:numPr>
          <w:ins w:id="0" w:author="Llinks" w:date="2021-07-12T10:45:00Z"/>
        </w:num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11.代理销售机构或代销机构：接受乙方委托销售其发行的理财产品的代理销售机构，包括其他理财公司，商业银行、农村合作银行、村镇银行、农村信用合作社等吸收公众存款的银行业金融机构，以及银保监会规定的其他机构。</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12.理财投资合作机构：包括但不限于乙方发行理财产品所投资资产管理产品的发行机构、根据合同约定从事理财产品受托投资的机构以及与理财产品投资管理相关的投资顾问等。</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13.理财产品宣传推介材料：指理财产品销售机构为宣传推介理财产品向投资者分发或者发布，使投资者可以获得的文字、图片、音频、视频以及其他形式的信息。</w:t>
      </w:r>
    </w:p>
    <w:p>
      <w:pPr>
        <w:pStyle w:val="bd1d9df9"/>
        <w:widowControl/>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14.理财产品销售文件：包括理财产品投资协议书（即本协议）、销售（代理销售）协议书、理财产品说明书、风险揭示书、投资者权益须知以及后续对上述文件的有效修订及补充；销售机构提供的经投资者确认的交易申请单（如有）及回单（如有）为理财产品销售文件的有效构成。</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15.本协议：指《华夏理财有限责任公司理财产品投资协议书》以及其后续有效的修订与补充。</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16.</w:t>
      </w:r>
      <w:r>
        <w:rPr>
          <w:rFonts w:hint="eastAsia" w:ascii="仿宋" w:hAnsi="仿宋" w:eastAsia="仿宋" w:cs="仿宋"/>
          <w:bCs/>
          <w:color w:val="000000"/>
          <w:szCs w:val="21"/>
        </w:rPr>
        <w:t>理财</w:t>
      </w:r>
      <w:r>
        <w:rPr>
          <w:rFonts w:hint="eastAsia" w:ascii="仿宋" w:hAnsi="仿宋" w:eastAsia="仿宋" w:cs="仿宋"/>
          <w:color w:val="000000"/>
          <w:szCs w:val="21"/>
        </w:rPr>
        <w:t>产品说明书或产品说明书：指乙方公布的、旨在说明理财产品具体要素的产品说明及其更新。</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bCs/>
          <w:color w:val="000000"/>
          <w:szCs w:val="21"/>
        </w:rPr>
        <w:t>17.</w:t>
      </w:r>
      <w:r>
        <w:rPr>
          <w:rFonts w:hint="eastAsia" w:ascii="仿宋" w:hAnsi="仿宋" w:eastAsia="仿宋" w:cs="仿宋"/>
          <w:color w:val="000000"/>
          <w:szCs w:val="21"/>
        </w:rPr>
        <w:t>约定信息披露途径：指理财产品说明书、销售（代理销售）协议书、投资者权益须知中约定的理财产品信息披露渠道。</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18.法律法规、监管规定：包括现行有效的法律、行政法规、部门规章和相关监管部门颁布的具有约束效力的规范性文件。</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19.</w:t>
      </w:r>
      <w:r>
        <w:rPr>
          <w:rFonts w:hint="eastAsia" w:ascii="仿宋" w:hAnsi="仿宋" w:eastAsia="仿宋" w:cs="仿宋"/>
          <w:bCs/>
          <w:color w:val="000000"/>
          <w:szCs w:val="21"/>
        </w:rPr>
        <w:t>理财</w:t>
      </w:r>
      <w:r>
        <w:rPr>
          <w:rFonts w:hint="eastAsia" w:ascii="仿宋" w:hAnsi="仿宋" w:eastAsia="仿宋" w:cs="仿宋"/>
          <w:color w:val="000000"/>
          <w:szCs w:val="21"/>
        </w:rPr>
        <w:t>产品开放日：指投资者可以办理理财产品申购、赎回等交易业务的日期。具体开放日、交易时间以理财产品说明书、销售（代理销售）协议书约定为准。封闭式理财产品不设开放日。</w:t>
      </w:r>
    </w:p>
    <w:p>
      <w:pPr>
        <w:pStyle w:val="bd1d9df9"/>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20.认购：指</w:t>
      </w:r>
      <w:bookmarkStart w:id="0" w:name="_Hlk76309053"/>
      <w:r>
        <w:rPr>
          <w:rFonts w:hint="eastAsia" w:ascii="仿宋" w:hAnsi="仿宋" w:eastAsia="仿宋" w:cs="仿宋"/>
          <w:color w:val="000000"/>
          <w:szCs w:val="21"/>
        </w:rPr>
        <w:t>投资者在</w:t>
      </w:r>
      <w:bookmarkEnd w:id="0"/>
      <w:r>
        <w:rPr>
          <w:rFonts w:hint="eastAsia" w:ascii="仿宋" w:hAnsi="仿宋" w:eastAsia="仿宋" w:cs="仿宋"/>
          <w:color w:val="000000"/>
          <w:szCs w:val="21"/>
        </w:rPr>
        <w:t>发行/募集期内购买理财产品。</w:t>
      </w:r>
    </w:p>
    <w:p>
      <w:pPr>
        <w:pStyle w:val="bd1d9df9"/>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21.申购：指投资者在理财产品成立后的开放日购买理财产品。</w:t>
      </w:r>
    </w:p>
    <w:p>
      <w:pPr>
        <w:pStyle w:val="bd1d9df9"/>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22.赎回：指投资者主动部分或全部退出所持有理财产品的行为。</w:t>
      </w:r>
    </w:p>
    <w:p>
      <w:pPr>
        <w:pStyle w:val="bd1d9df9"/>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23.巨额赎回：指开放式公募理财产品单个开放日净赎回申请超过理财产品总份额的10%的赎回行为。出现巨额赎回时，按照法律法规、监管规定和理财产品销售文件约定，乙方有权综合运用设置赎回上限、延期办理巨额赎回申请、暂停接受赎回申请、收取赎回费等方式，降低理财产品流动性风险，具体以理财产品说明书约定为准。</w:t>
      </w:r>
    </w:p>
    <w:p>
      <w:pPr>
        <w:pStyle w:val="bd1d9df9"/>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24.冷静期：对私募类理财产品，甲方自签署私募理财产品销售文件之时起，有权享有24小时的投资冷静期。在投资冷静期内，如果甲方改变决定，乙方将遵从甲方意愿，解除已签订的销售文件，并及时退还全部投资款项。</w:t>
      </w:r>
    </w:p>
    <w:p>
      <w:pPr>
        <w:pStyle w:val="bd1d9df9"/>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三、理财产品的基本情况</w:t>
      </w:r>
    </w:p>
    <w:p>
      <w:pPr>
        <w:pStyle w:val="bd1d9df9"/>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有关甲方所认/申购理财产品的任何介绍、说明仅以理财产品销售文件和乙方通过约定信息披露途径发布的对应产品公告为准。</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理财产品风险评级为乙方自主评定。代理销售机构对理财产品的风险评级结果，遵从代销机构的规定，并以代销机构最终披露的评级结果为准。如代销机构对理财产品的风险评级结果与乙方评级结果不一致，代销机构应当采用对应较高风险等级的评级结果并予以披露。</w:t>
      </w:r>
    </w:p>
    <w:p>
      <w:pPr>
        <w:pStyle w:val="bd1d9df9"/>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四、理财产品的销售业务</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为维护全体投资者权益，乙方可根据法律法规、监管规定及说明书约定设置、调整理财产品的销售总规模、销售机构、销售渠道、销售对象、销售机构或渠道的销售额度、交易时间及其他交易条件等销售业务规则，并履行信息披露义务。</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投资者须通过乙方或其指定的代理销售机构投资理财产品，各代理销售机构的名单及信息详见乙方披露的销售机构公告。</w:t>
      </w:r>
    </w:p>
    <w:p>
      <w:pPr>
        <w:pStyle w:val="bd1d9df9"/>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甲方通过销售机构办理认/申购和赎回等交易业务时，销售机构对交易申请的受理并不代表该申请一定成功，交易结果以乙方的确认为准。对于交易申请的确认情况，甲方应及时查询。</w:t>
      </w:r>
    </w:p>
    <w:p>
      <w:pPr>
        <w:pStyle w:val="bd1d9df9"/>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（一）理财产品销售机构的义务</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理财产品销售机构应当遵守法律法规、监管规定以及理财产品销售文件的约定，诚实守信，谨慎勤勉，恪守职业道德和行为规范，向投资者充分披露信息并揭示风险，打破刚性兑付，不得直接或变相宣传、承诺理财产品保本保收益。</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Cs/>
          <w:color w:val="000000"/>
          <w:szCs w:val="21"/>
        </w:rPr>
        <w:t>.</w:t>
      </w:r>
      <w:r>
        <w:rPr>
          <w:rFonts w:hint="eastAsia" w:ascii="仿宋" w:hAnsi="仿宋" w:eastAsia="仿宋" w:cs="仿宋"/>
          <w:color w:val="000000"/>
          <w:szCs w:val="21"/>
        </w:rPr>
        <w:t>不得以理财名义或使用“理财”字样开展其他金融产品销售业务活动。</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对投资者的风险承受能力进行评估，确定投资者风险承受能力等级，将投资者的风险承受能力与理财产品风险进行匹配；</w:t>
      </w:r>
      <w:r>
        <w:rPr>
          <w:rFonts w:hint="eastAsia" w:ascii="仿宋" w:hAnsi="仿宋" w:eastAsia="仿宋"/>
          <w:b/>
          <w:bCs/>
          <w:szCs w:val="21"/>
        </w:rPr>
        <w:t>如投资者属于专业投资者，理财产品销售机构有权视情况简化或者免于对该等专业投资者进行风险承受能力评估</w:t>
      </w:r>
      <w:r>
        <w:rPr>
          <w:rFonts w:hint="eastAsia" w:ascii="仿宋" w:hAnsi="仿宋" w:eastAsia="仿宋" w:cs="仿宋"/>
          <w:color w:val="000000"/>
          <w:szCs w:val="21"/>
        </w:rPr>
        <w:t>。</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w:t>
      </w:r>
      <w:r>
        <w:rPr>
          <w:rFonts w:hint="eastAsia" w:ascii="仿宋" w:hAnsi="仿宋" w:eastAsia="仿宋" w:cs="仿宋"/>
          <w:bCs/>
          <w:color w:val="000000"/>
          <w:szCs w:val="21"/>
        </w:rPr>
        <w:t>.</w:t>
      </w:r>
      <w:r>
        <w:rPr>
          <w:rFonts w:hint="eastAsia" w:ascii="仿宋" w:hAnsi="仿宋" w:eastAsia="仿宋" w:cs="仿宋"/>
          <w:color w:val="000000"/>
          <w:szCs w:val="21"/>
        </w:rPr>
        <w:t>完整记录并保存销售业务活动信息，确保记录信息的全面、准确和不可篡改。</w:t>
      </w:r>
    </w:p>
    <w:p>
      <w:pPr>
        <w:pStyle w:val="bd1d9df9"/>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color w:val="000000"/>
          <w:szCs w:val="21"/>
        </w:rPr>
        <w:t>5</w:t>
      </w:r>
      <w:r>
        <w:rPr>
          <w:rFonts w:hint="eastAsia" w:ascii="仿宋" w:hAnsi="仿宋" w:eastAsia="仿宋" w:cs="仿宋"/>
          <w:bCs/>
          <w:color w:val="000000"/>
          <w:szCs w:val="21"/>
        </w:rPr>
        <w:t>.</w:t>
      </w:r>
      <w:r>
        <w:rPr>
          <w:rFonts w:hint="eastAsia" w:ascii="仿宋" w:hAnsi="仿宋" w:eastAsia="仿宋" w:cs="仿宋"/>
          <w:color w:val="000000"/>
          <w:szCs w:val="21"/>
        </w:rPr>
        <w:t>通过其电子渠道向投资者销售理财产品时，应完整客观记录营销推介、产品风险和关键信息提示、投资者确认和反馈等重点销售环节。对甲方进行上述记录行为的，应当征得甲方同意。</w:t>
      </w:r>
      <w:r>
        <w:rPr>
          <w:rFonts w:hint="eastAsia" w:ascii="仿宋" w:hAnsi="仿宋" w:eastAsia="仿宋"/>
          <w:b/>
          <w:bCs/>
          <w:szCs w:val="21"/>
        </w:rPr>
        <w:t>如投资者属于专业投资者，理财产品销售机构有权视情况简化或者免于对该等专业投资者开展可回溯管理。</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Cs/>
          <w:color w:val="000000"/>
          <w:szCs w:val="21"/>
        </w:rPr>
        <w:t>.</w:t>
      </w:r>
      <w:r>
        <w:rPr>
          <w:rFonts w:hint="eastAsia" w:ascii="仿宋" w:hAnsi="仿宋" w:eastAsia="仿宋" w:cs="仿宋"/>
          <w:color w:val="000000"/>
          <w:szCs w:val="21"/>
        </w:rPr>
        <w:t>除非与</w:t>
      </w:r>
      <w:r>
        <w:rPr>
          <w:rFonts w:ascii="仿宋" w:hAnsi="仿宋" w:eastAsia="仿宋" w:cs="仿宋"/>
          <w:color w:val="000000"/>
          <w:szCs w:val="21"/>
        </w:rPr>
        <w:t>非机构</w:t>
      </w:r>
      <w:r>
        <w:rPr>
          <w:rFonts w:hint="eastAsia" w:ascii="仿宋" w:hAnsi="仿宋" w:eastAsia="仿宋" w:cs="仿宋"/>
          <w:color w:val="000000"/>
          <w:szCs w:val="21"/>
        </w:rPr>
        <w:t>投资者当面书面约定，销售评级为四级以上理财产品的，应当在销售机构营业网点进行。</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7</w:t>
      </w:r>
      <w:r>
        <w:rPr>
          <w:rFonts w:hint="eastAsia" w:ascii="仿宋" w:hAnsi="仿宋" w:eastAsia="仿宋" w:cs="仿宋"/>
          <w:bCs/>
          <w:color w:val="000000"/>
          <w:szCs w:val="21"/>
        </w:rPr>
        <w:t>.</w:t>
      </w:r>
      <w:r>
        <w:rPr>
          <w:rFonts w:hint="eastAsia" w:ascii="仿宋" w:hAnsi="仿宋" w:eastAsia="仿宋" w:cs="仿宋"/>
          <w:color w:val="000000"/>
          <w:szCs w:val="21"/>
        </w:rPr>
        <w:t>根据反洗钱、反恐怖融资及非居民金融账户涉税信息尽职调查等相关法律法规要求识别投资者身份。</w:t>
      </w:r>
    </w:p>
    <w:p>
      <w:pPr>
        <w:pStyle w:val="bd1d9df9"/>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color w:val="000000"/>
          <w:szCs w:val="21"/>
        </w:rPr>
        <w:t>8</w:t>
      </w:r>
      <w:r>
        <w:rPr>
          <w:rFonts w:hint="eastAsia" w:ascii="仿宋" w:hAnsi="仿宋" w:eastAsia="仿宋" w:cs="仿宋"/>
          <w:bCs/>
          <w:color w:val="000000"/>
          <w:szCs w:val="21"/>
        </w:rPr>
        <w:t>.完善合格投资者尽职调查流程，充分了解合格投资者的信息，收集、核验合格投资者的金融资产证明、收入证明或纳税凭证等材料，对投资者风险识别能力和风险承受能力进行持续评估（</w:t>
      </w:r>
      <w:r>
        <w:rPr>
          <w:rFonts w:hint="eastAsia" w:ascii="仿宋" w:hAnsi="仿宋" w:eastAsia="仿宋"/>
          <w:b/>
          <w:bCs/>
          <w:szCs w:val="21"/>
        </w:rPr>
        <w:t>如投资者属于专业投资者，理财产品销售机构有权视情况简化或者免于对该等专业投资者进行风险承受能力评估</w:t>
      </w:r>
      <w:r>
        <w:rPr>
          <w:rFonts w:hint="eastAsia" w:ascii="仿宋" w:hAnsi="仿宋" w:eastAsia="仿宋" w:cs="仿宋"/>
          <w:bCs/>
          <w:color w:val="000000"/>
          <w:szCs w:val="21"/>
        </w:rPr>
        <w:t>），并要求投资者承诺投资资金为自有资金（机构投资者合法募集的资金除外）。</w:t>
      </w:r>
    </w:p>
    <w:p>
      <w:pPr>
        <w:pStyle w:val="bd1d9df9"/>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color w:val="000000"/>
          <w:szCs w:val="21"/>
        </w:rPr>
        <w:t>9</w:t>
      </w:r>
      <w:r>
        <w:rPr>
          <w:rFonts w:hint="eastAsia" w:ascii="仿宋" w:hAnsi="仿宋" w:eastAsia="仿宋" w:cs="仿宋"/>
          <w:bCs/>
          <w:color w:val="000000"/>
          <w:szCs w:val="21"/>
        </w:rPr>
        <w:t>.按照法律法规、监管规定和理财产品销售文件的约定，办理理财产品的认（申）购、赎回，不得擅自拒绝接受投资者的认（申）购、赎回申请。</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10</w:t>
      </w:r>
      <w:r>
        <w:rPr>
          <w:rFonts w:hint="eastAsia" w:ascii="仿宋" w:hAnsi="仿宋" w:eastAsia="仿宋" w:cs="仿宋"/>
          <w:bCs/>
          <w:color w:val="000000"/>
          <w:szCs w:val="21"/>
        </w:rPr>
        <w:t>.按照法律法规、监管规定要求，向甲方</w:t>
      </w:r>
      <w:r>
        <w:rPr>
          <w:rFonts w:hint="eastAsia" w:ascii="仿宋" w:hAnsi="仿宋" w:eastAsia="仿宋" w:cs="仿宋"/>
          <w:color w:val="000000"/>
          <w:szCs w:val="21"/>
        </w:rPr>
        <w:t>持续提供信息服务。</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11</w:t>
      </w:r>
      <w:r>
        <w:rPr>
          <w:rFonts w:hint="eastAsia" w:ascii="仿宋" w:hAnsi="仿宋" w:eastAsia="仿宋" w:cs="仿宋"/>
          <w:bCs/>
          <w:color w:val="000000"/>
          <w:szCs w:val="21"/>
        </w:rPr>
        <w:t>.</w:t>
      </w:r>
      <w:r>
        <w:rPr>
          <w:rFonts w:hint="eastAsia" w:ascii="仿宋" w:hAnsi="仿宋" w:eastAsia="仿宋" w:cs="仿宋"/>
          <w:color w:val="000000"/>
          <w:szCs w:val="21"/>
        </w:rPr>
        <w:t>在营业网点和电子渠道显著位置对理财产品销售人员信息进行公示。</w:t>
      </w:r>
    </w:p>
    <w:p>
      <w:pPr>
        <w:pStyle w:val="bd1d9df9"/>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（二）理财产品销售机构及其销售人员从事理财产品销售业务活动，不得有下列情形：</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误导投资者购买与其风险承受能力不相匹配的理财产品；</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Cs/>
          <w:color w:val="000000"/>
          <w:szCs w:val="21"/>
        </w:rPr>
        <w:t>.</w:t>
      </w:r>
      <w:r>
        <w:rPr>
          <w:rFonts w:hint="eastAsia" w:ascii="仿宋" w:hAnsi="仿宋" w:eastAsia="仿宋" w:cs="仿宋"/>
          <w:color w:val="000000"/>
          <w:szCs w:val="21"/>
        </w:rPr>
        <w:t>虚假宣传、片面或者不当宣传，夸大过往业绩，预测理财产品的投资业绩，或者出具、宣传理财产品预期收益率；</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使用未说明选择原因、测算依据或计算方法的业绩比较基准，单独或突出使用绝对数值、区间数值展示业绩比较基准；</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w:t>
      </w:r>
      <w:r>
        <w:rPr>
          <w:rFonts w:hint="eastAsia" w:ascii="仿宋" w:hAnsi="仿宋" w:eastAsia="仿宋" w:cs="仿宋"/>
          <w:bCs/>
          <w:color w:val="000000"/>
          <w:szCs w:val="21"/>
        </w:rPr>
        <w:t>.</w:t>
      </w:r>
      <w:r>
        <w:rPr>
          <w:rFonts w:hint="eastAsia" w:ascii="仿宋" w:hAnsi="仿宋" w:eastAsia="仿宋" w:cs="仿宋"/>
          <w:color w:val="000000"/>
          <w:szCs w:val="21"/>
        </w:rPr>
        <w:t>将销售的理财产品与存款或其他产品进行混同；</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w:t>
      </w:r>
      <w:r>
        <w:rPr>
          <w:rFonts w:hint="eastAsia" w:ascii="仿宋" w:hAnsi="仿宋" w:eastAsia="仿宋" w:cs="仿宋"/>
          <w:bCs/>
          <w:color w:val="000000"/>
          <w:szCs w:val="21"/>
        </w:rPr>
        <w:t>.</w:t>
      </w:r>
      <w:r>
        <w:rPr>
          <w:rFonts w:hint="eastAsia" w:ascii="仿宋" w:hAnsi="仿宋" w:eastAsia="仿宋" w:cs="仿宋"/>
          <w:color w:val="000000"/>
          <w:szCs w:val="21"/>
        </w:rPr>
        <w:t>在理财产品销售过程中强制捆绑、搭售其他服务或产品；</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Cs/>
          <w:color w:val="000000"/>
          <w:szCs w:val="21"/>
        </w:rPr>
        <w:t>.</w:t>
      </w:r>
      <w:r>
        <w:rPr>
          <w:rFonts w:hint="eastAsia" w:ascii="仿宋" w:hAnsi="仿宋" w:eastAsia="仿宋" w:cs="仿宋"/>
          <w:color w:val="000000"/>
          <w:szCs w:val="21"/>
        </w:rPr>
        <w:t>提供抽奖、回扣、馈赠实物、代金权益及金融产品等销售理财产品；</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7</w:t>
      </w:r>
      <w:r>
        <w:rPr>
          <w:rFonts w:hint="eastAsia" w:ascii="仿宋" w:hAnsi="仿宋" w:eastAsia="仿宋" w:cs="仿宋"/>
          <w:bCs/>
          <w:color w:val="000000"/>
          <w:szCs w:val="21"/>
        </w:rPr>
        <w:t>.</w:t>
      </w:r>
      <w:r>
        <w:rPr>
          <w:rFonts w:hint="eastAsia" w:ascii="仿宋" w:hAnsi="仿宋" w:eastAsia="仿宋" w:cs="仿宋"/>
          <w:color w:val="000000"/>
          <w:szCs w:val="21"/>
        </w:rPr>
        <w:t>违背投资者利益优先原则，为谋取机构或人员的利益，诱导投资者进行短期、频繁购买和赎回操作；</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8</w:t>
      </w:r>
      <w:r>
        <w:rPr>
          <w:rFonts w:hint="eastAsia" w:ascii="仿宋" w:hAnsi="仿宋" w:eastAsia="仿宋" w:cs="仿宋"/>
          <w:bCs/>
          <w:color w:val="000000"/>
          <w:szCs w:val="21"/>
        </w:rPr>
        <w:t>.</w:t>
      </w:r>
      <w:r>
        <w:rPr>
          <w:rFonts w:hint="eastAsia" w:ascii="仿宋" w:hAnsi="仿宋" w:eastAsia="仿宋" w:cs="仿宋"/>
          <w:color w:val="000000"/>
          <w:szCs w:val="21"/>
        </w:rPr>
        <w:t>由销售人员违规代替投资者签署销售业务相关文件，或者代替投资者进行风险承受能力评估、理财产品购买等操作，代替投资者持有或安排他人代替投资者持有其销售的理财产品；</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9</w:t>
      </w:r>
      <w:r>
        <w:rPr>
          <w:rFonts w:hint="eastAsia" w:ascii="仿宋" w:hAnsi="仿宋" w:eastAsia="仿宋" w:cs="仿宋"/>
          <w:bCs/>
          <w:color w:val="000000"/>
          <w:szCs w:val="21"/>
        </w:rPr>
        <w:t>.</w:t>
      </w:r>
      <w:r>
        <w:rPr>
          <w:rFonts w:hint="eastAsia" w:ascii="仿宋" w:hAnsi="仿宋" w:eastAsia="仿宋" w:cs="仿宋"/>
          <w:color w:val="000000"/>
          <w:szCs w:val="21"/>
        </w:rPr>
        <w:t>为理财产品提供直接或间接、显性或隐性担保，包括部分或全部承诺本金或收益保障；</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10</w:t>
      </w:r>
      <w:r>
        <w:rPr>
          <w:rFonts w:hint="eastAsia" w:ascii="仿宋" w:hAnsi="仿宋" w:eastAsia="仿宋" w:cs="仿宋"/>
          <w:bCs/>
          <w:color w:val="000000"/>
          <w:szCs w:val="21"/>
        </w:rPr>
        <w:t>.</w:t>
      </w:r>
      <w:r>
        <w:rPr>
          <w:rFonts w:hint="eastAsia" w:ascii="仿宋" w:hAnsi="仿宋" w:eastAsia="仿宋" w:cs="仿宋"/>
          <w:color w:val="000000"/>
          <w:szCs w:val="21"/>
        </w:rPr>
        <w:t>利用或者承诺利用理财产品和理财产品销售业务进行利益输送或利益交换；</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11</w:t>
      </w:r>
      <w:r>
        <w:rPr>
          <w:rFonts w:hint="eastAsia" w:ascii="仿宋" w:hAnsi="仿宋" w:eastAsia="仿宋" w:cs="仿宋"/>
          <w:bCs/>
          <w:color w:val="000000"/>
          <w:szCs w:val="21"/>
        </w:rPr>
        <w:t>.</w:t>
      </w:r>
      <w:r>
        <w:rPr>
          <w:rFonts w:hint="eastAsia" w:ascii="仿宋" w:hAnsi="仿宋" w:eastAsia="仿宋" w:cs="仿宋"/>
          <w:color w:val="000000"/>
          <w:szCs w:val="21"/>
        </w:rPr>
        <w:t>恶意诋毁、贬低其他理财产品销售机构或者其他理财产品；</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12</w:t>
      </w:r>
      <w:r>
        <w:rPr>
          <w:rFonts w:hint="eastAsia" w:ascii="仿宋" w:hAnsi="仿宋" w:eastAsia="仿宋" w:cs="仿宋"/>
          <w:bCs/>
          <w:color w:val="000000"/>
          <w:szCs w:val="21"/>
        </w:rPr>
        <w:t>.</w:t>
      </w:r>
      <w:r>
        <w:rPr>
          <w:rFonts w:hint="eastAsia" w:ascii="仿宋" w:hAnsi="仿宋" w:eastAsia="仿宋" w:cs="仿宋"/>
          <w:color w:val="000000"/>
          <w:szCs w:val="21"/>
        </w:rPr>
        <w:t>截留、挪用理财产品销售结算资金；</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13</w:t>
      </w:r>
      <w:r>
        <w:rPr>
          <w:rFonts w:hint="eastAsia" w:ascii="仿宋" w:hAnsi="仿宋" w:eastAsia="仿宋" w:cs="仿宋"/>
          <w:bCs/>
          <w:color w:val="000000"/>
          <w:szCs w:val="21"/>
        </w:rPr>
        <w:t>.</w:t>
      </w:r>
      <w:r>
        <w:rPr>
          <w:rFonts w:hint="eastAsia" w:ascii="仿宋" w:hAnsi="仿宋" w:eastAsia="仿宋" w:cs="仿宋"/>
          <w:color w:val="000000"/>
          <w:szCs w:val="21"/>
        </w:rPr>
        <w:t>违法违规提供理财产品投资者相关信息；</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14</w:t>
      </w:r>
      <w:r>
        <w:rPr>
          <w:rFonts w:hint="eastAsia" w:ascii="仿宋" w:hAnsi="仿宋" w:eastAsia="仿宋" w:cs="仿宋"/>
          <w:bCs/>
          <w:color w:val="000000"/>
          <w:szCs w:val="21"/>
        </w:rPr>
        <w:t>.</w:t>
      </w:r>
      <w:r>
        <w:rPr>
          <w:rFonts w:hint="eastAsia" w:ascii="仿宋" w:hAnsi="仿宋" w:eastAsia="仿宋" w:cs="仿宋"/>
          <w:color w:val="000000"/>
          <w:szCs w:val="21"/>
        </w:rPr>
        <w:t>未经授权或超越授权范围开展销售业务，私自推介、销售未经本机构审批的理财产品，通过营业网点或电子渠道提供未经本机构审批的理财产品销售相关文件和资料；</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15</w:t>
      </w:r>
      <w:r>
        <w:rPr>
          <w:rFonts w:hint="eastAsia" w:ascii="仿宋" w:hAnsi="仿宋" w:eastAsia="仿宋" w:cs="仿宋"/>
          <w:bCs/>
          <w:color w:val="000000"/>
          <w:szCs w:val="21"/>
        </w:rPr>
        <w:t>.</w:t>
      </w:r>
      <w:r>
        <w:rPr>
          <w:rFonts w:hint="eastAsia" w:ascii="仿宋" w:hAnsi="仿宋" w:eastAsia="仿宋" w:cs="仿宋"/>
          <w:color w:val="000000"/>
          <w:szCs w:val="21"/>
        </w:rPr>
        <w:t>未按规定或者协议约定的时间发行理财产品，或者擅自变更理财产品的发行日期；</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16</w:t>
      </w:r>
      <w:r>
        <w:rPr>
          <w:rFonts w:hint="eastAsia" w:ascii="仿宋" w:hAnsi="仿宋" w:eastAsia="仿宋" w:cs="仿宋"/>
          <w:bCs/>
          <w:color w:val="000000"/>
          <w:szCs w:val="21"/>
        </w:rPr>
        <w:t>.</w:t>
      </w:r>
      <w:r>
        <w:rPr>
          <w:rFonts w:hint="eastAsia" w:ascii="仿宋" w:hAnsi="仿宋" w:eastAsia="仿宋" w:cs="仿宋"/>
          <w:color w:val="000000"/>
          <w:szCs w:val="21"/>
        </w:rPr>
        <w:t>在获得理财产品登记编码前，办理理财产品销售业务，发布理财产品宣传推介材料；</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17</w:t>
      </w:r>
      <w:r>
        <w:rPr>
          <w:rFonts w:hint="eastAsia" w:ascii="仿宋" w:hAnsi="仿宋" w:eastAsia="仿宋" w:cs="仿宋"/>
          <w:bCs/>
          <w:color w:val="000000"/>
          <w:szCs w:val="21"/>
        </w:rPr>
        <w:t>.</w:t>
      </w:r>
      <w:r>
        <w:rPr>
          <w:rFonts w:hint="eastAsia" w:ascii="仿宋" w:hAnsi="仿宋" w:eastAsia="仿宋" w:cs="仿宋"/>
          <w:color w:val="000000"/>
          <w:szCs w:val="21"/>
        </w:rPr>
        <w:t>国务院银行业监督管理机构禁止的其他情形。</w:t>
      </w:r>
    </w:p>
    <w:p>
      <w:pPr>
        <w:pStyle w:val="bd1d9df9"/>
        <w:adjustRightInd w:val="0"/>
        <w:snapToGrid w:val="0"/>
        <w:spacing w:line="360" w:lineRule="auto"/>
        <w:ind w:firstLine="422" w:firstLineChars="200"/>
        <w:outlineLvl w:val="1"/>
        <w:rPr>
          <w:rFonts w:hint="eastAsia" w:ascii="仿宋" w:hAnsi="仿宋" w:eastAsia="仿宋" w:cs="仿宋"/>
          <w:b/>
          <w:bCs/>
          <w:color w:val="000000"/>
          <w:szCs w:val="21"/>
        </w:rPr>
      </w:pPr>
      <w:r>
        <w:rPr>
          <w:rFonts w:hint="eastAsia" w:ascii="仿宋" w:hAnsi="仿宋" w:eastAsia="仿宋" w:cs="仿宋"/>
          <w:b/>
          <w:bCs/>
          <w:color w:val="000000"/>
          <w:szCs w:val="21"/>
        </w:rPr>
        <w:t>（三）甲方如发现理财销售机构存在违背自身义务或采取上述不当理财产品销售行为的，应及时通知乙方，并应在该销售机构整改完成前停止在该机构接受理财销售服务。如甲方明知或应当知道某理财销售机构存在不当销售行为，仍通过该销售机构投资理财产品，则乙方对甲方可能遭受的损失不承担责任。</w:t>
      </w:r>
    </w:p>
    <w:p>
      <w:pPr>
        <w:pStyle w:val="bd1d9df9"/>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五、理财产品的交易</w:t>
      </w:r>
    </w:p>
    <w:p>
      <w:pPr>
        <w:pStyle w:val="bd1d9df9"/>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（一）理财产品的认购</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乙方及代销机构于理财产品说明书列明的募集期内受理甲方的认购。</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Cs/>
          <w:color w:val="000000"/>
          <w:szCs w:val="21"/>
        </w:rPr>
        <w:t>.乙方有权根据资金募集情况，宣布提前结束募集期或延长募集期。</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募集期结束，如发生下列情况之一时，乙方有权宣布理财产品不成立：</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（1）理财产品募集总金额未达到发行规模下限；</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（2）市场发生重大变化，乙方无法或者经其合理判断难以按照原销售文件约定向投资者提供理财产品；</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（3）法律法规、监管规定、国家政策发生变化导致无法按照原销售文件约定向投资者提供理财产品。</w:t>
      </w:r>
    </w:p>
    <w:p>
      <w:pPr>
        <w:pStyle w:val="bd1d9df9"/>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（二）理财产品的申购与赎回</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bCs/>
          <w:color w:val="000000"/>
          <w:szCs w:val="21"/>
        </w:rPr>
        <w:t>1.</w:t>
      </w:r>
      <w:r>
        <w:rPr>
          <w:rFonts w:hint="eastAsia" w:ascii="仿宋" w:hAnsi="仿宋" w:eastAsia="仿宋" w:cs="仿宋"/>
          <w:color w:val="000000"/>
          <w:szCs w:val="21"/>
        </w:rPr>
        <w:t>乙方可根据理财产品的投资管理需要设置或调整理财产品的封闭期和开放期。如对处于封闭期内的理财产品临时开放或调整理财产品开放条款等，乙方将通过约定的信息披露途径及时公告。</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bCs/>
          <w:color w:val="000000"/>
          <w:szCs w:val="21"/>
        </w:rPr>
        <w:t>2.</w:t>
      </w:r>
      <w:r>
        <w:rPr>
          <w:rFonts w:hint="eastAsia" w:ascii="仿宋" w:hAnsi="仿宋" w:eastAsia="仿宋" w:cs="仿宋"/>
          <w:color w:val="000000"/>
          <w:szCs w:val="21"/>
        </w:rPr>
        <w:t>理财产品销售文件可能约定或调整投资者首次申购、追加申购的最低金额以及每次赎回的最低份额，具体约定请参见理财产品说明书及相关公告。</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理财产品销售文件可能约定或调整投资者每个交易账户的最低理财产品份额余额，具体约定请参见理财产品说明书及相关公告。</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w:t>
      </w:r>
      <w:r>
        <w:rPr>
          <w:rFonts w:hint="eastAsia" w:ascii="仿宋" w:hAnsi="仿宋" w:eastAsia="仿宋" w:cs="仿宋"/>
          <w:bCs/>
          <w:color w:val="000000"/>
          <w:szCs w:val="21"/>
        </w:rPr>
        <w:t>.</w:t>
      </w:r>
      <w:r>
        <w:rPr>
          <w:rFonts w:hint="eastAsia" w:ascii="仿宋" w:hAnsi="仿宋" w:eastAsia="仿宋" w:cs="仿宋"/>
          <w:color w:val="000000"/>
          <w:szCs w:val="21"/>
        </w:rPr>
        <w:t>理财产品销售文件可能约定或调整单个投资者累计持有的理财产品份额上限，具体约定请参见理财产品说明书及相关公告。</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w:t>
      </w:r>
      <w:r>
        <w:rPr>
          <w:rFonts w:hint="eastAsia" w:ascii="仿宋" w:hAnsi="仿宋" w:eastAsia="仿宋" w:cs="仿宋"/>
          <w:bCs/>
          <w:color w:val="000000"/>
          <w:szCs w:val="21"/>
        </w:rPr>
        <w:t>.</w:t>
      </w:r>
      <w:r>
        <w:rPr>
          <w:rFonts w:hint="eastAsia" w:ascii="仿宋" w:hAnsi="仿宋" w:eastAsia="仿宋" w:cs="仿宋"/>
          <w:color w:val="000000"/>
          <w:szCs w:val="21"/>
        </w:rPr>
        <w:t>当接受申购申请对存量理财产品投资者利益构成潜在重大不利影响时，乙方可采取设定单一投资者申购金额上限或理财产品单日净申购比例上限、拒绝大额申购、暂停理财产品申购等措施，以保护存量理财产品投资者的合法权益，具体约定请参见理财产品说明书及相关公告。</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Cs/>
          <w:color w:val="000000"/>
          <w:szCs w:val="21"/>
        </w:rPr>
        <w:t>.</w:t>
      </w:r>
      <w:r>
        <w:rPr>
          <w:rFonts w:hint="eastAsia" w:ascii="仿宋" w:hAnsi="仿宋" w:eastAsia="仿宋" w:cs="仿宋"/>
          <w:color w:val="000000"/>
          <w:szCs w:val="21"/>
        </w:rPr>
        <w:t>理财产品的申购份额、赎回金额的具体计算方法，认购费、申购费、赎回费以及其他销售相关费用的具体收费标准及方式在理财产品说明书中列示。乙方可能调整费率或收费方式，并将依照理财产品销售文件的约定进行公告。</w:t>
      </w:r>
    </w:p>
    <w:p>
      <w:pPr>
        <w:pStyle w:val="bd1d9df9"/>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（三）拒绝或暂停办理认（申）购、赎回的情形</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如乙方认为继续认购、申购、赎回可能影响到投资者利益时，乙方有权按说明书约定暂停认购、申购、赎回，并履行信息披露义务。</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Cs/>
          <w:color w:val="000000"/>
          <w:szCs w:val="21"/>
        </w:rPr>
        <w:t>.</w:t>
      </w:r>
      <w:r>
        <w:rPr>
          <w:rFonts w:hint="eastAsia" w:ascii="仿宋" w:hAnsi="仿宋" w:eastAsia="仿宋" w:cs="仿宋"/>
          <w:color w:val="000000"/>
          <w:szCs w:val="21"/>
        </w:rPr>
        <w:t>因不可抗力原因导致理财产品无法正常运作时，乙方有权按说明书约定暂停认购、申购、赎回。乙方暂停或者开放认（申）购、赎回等业务的，将按照理财产品销售文件约定，向投资者说明具体原因和依据。</w:t>
      </w:r>
    </w:p>
    <w:p>
      <w:pPr>
        <w:pStyle w:val="bd1d9df9"/>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（四）巨额赎回的情形及处理方式</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开放式理财产品发生巨额赎回的，乙方当日办理的赎回份额不低于前一日日终理财产品总份额的10%。乙方有权按说明书约定对其余的赎回申请采取暂停接受、延期办理、延缓支付赎回款项等应对措施，并将履行信息披露义务。</w:t>
      </w:r>
    </w:p>
    <w:p>
      <w:pPr>
        <w:pStyle w:val="bd1d9df9"/>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（五）理财产品份额的冻结和解冻</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乙方只受理国家有权机关依法要求的理财产品份额的冻结与解冻，以及乙方认可并符合法律法规、监管规定的其他情况下的冻结与解冻。</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理财产品份额被冻结的，被冻结部分产生的权益一并冻结，被冻结部分份额仍然参与收益分配。法律法规、监管规定另有规定的除外。</w:t>
      </w:r>
    </w:p>
    <w:p>
      <w:pPr>
        <w:pStyle w:val="bd1d9df9"/>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六、权利及义务</w:t>
      </w:r>
    </w:p>
    <w:p>
      <w:pPr>
        <w:pStyle w:val="bd1d9df9"/>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（一）甲方的权利</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1.甲方有权按照销售文件的约定获取理财产品财产收益。</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2.甲方有权按销售文件约定申请赎回其持有的理财产品份额。</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3.甲方有权了解理财产品基本情况，按销售文件约定获取理财产品相关信息。</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4.甲方购买乙方发行管理的私募理财产品，可按销售文件约定享有不少于24小时的投资冷静期。在冷静期内，如甲方改变投资决定，应立即在投资冷静期内撤销认/申购的申请，销售机构应按约定退还客户款项。</w:t>
      </w:r>
    </w:p>
    <w:p>
      <w:pPr>
        <w:pStyle w:val="bd1d9df9"/>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（二）甲方的义务</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1.甲方应认真阅读理财产品销售文件，遵守协议约定。</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2.甲方应充分了解所投资理财产品，充分了解自身风险承受能力，对理财产品的投资价值进行独立判断，自主做出投资决策，获取投资收益并承担可能的投资风险。</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3.甲方应及时、主动获取理财产品披露信息。</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4.甲方如存在法律法规、监管规定、有权机关或主管机关禁止或限制购买理财产品的各种情形，或其购买理财产品的行为违反其公司章程或其他文件的任何限制性规定，应明确告知乙方并停止继续购买理财产品。</w:t>
      </w:r>
    </w:p>
    <w:p>
      <w:pPr>
        <w:pStyle w:val="bd1d9df9"/>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5.甲方在乙方或代销机构开通的网上银行、手机银行或其他电子渠道进行理财产品认/申购、赎回或其他交易前，应认真阅读该电子渠道服务协议或业务规则。</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6.甲方应以真实身份办理理财业务。甲方提供的姓名/名称、通信地址、联系方式等信息和资料均应真实、准确、完整、合法、有效。如发生任何变更，应及时告知乙方或代销机构。</w:t>
      </w:r>
      <w:r>
        <w:rPr>
          <w:rFonts w:hint="eastAsia" w:ascii="仿宋" w:hAnsi="仿宋" w:eastAsia="仿宋" w:cs="仿宋"/>
          <w:b/>
          <w:bCs/>
          <w:color w:val="000000"/>
          <w:szCs w:val="21"/>
        </w:rPr>
        <w:t>若甲方未及时办理相关信息或资料的变更，由此导致的一切后果由甲方自行承担，乙方不承担任何责任。</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7.甲方应妥善保管账号、密码等身份认证要素。以甲方相应身份认证要素进行的交易操作，甲方应认可并承担该交易操作的法律后果。</w:t>
      </w:r>
    </w:p>
    <w:p>
      <w:pPr>
        <w:pStyle w:val="bd1d9df9"/>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8.甲方为非机构投资者，购买理财计划资金应为合法自有资金；甲方为机构投资者（含资产管理产品），购买理财计划资金应为合法自有资金或合法募集资金；甲方不存在使用贷款、发行债券等募集的非自有资金投资理财产品的情形（合法募集资金除外）。甲方承诺投资理财产品使用的资金来源合法合规，并且系为合法目的投资本理财产品，而非为洗钱等违法犯罪之目的。甲方应配合乙方及销售机构开展投资者身份识别及尽职调查，及时、真实、准确、完整提供身份信息及资金来源等信息。</w:t>
      </w:r>
    </w:p>
    <w:p>
      <w:pPr>
        <w:pStyle w:val="bd1d9df9"/>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9</w:t>
      </w:r>
      <w:r>
        <w:rPr>
          <w:rFonts w:hint="eastAsia" w:ascii="仿宋" w:hAnsi="仿宋" w:eastAsia="仿宋" w:cs="仿宋"/>
          <w:b/>
          <w:bCs/>
          <w:color w:val="000000"/>
          <w:szCs w:val="21"/>
        </w:rPr>
        <w:t>.</w:t>
      </w:r>
      <w:r>
        <w:rPr>
          <w:rFonts w:hint="eastAsia" w:ascii="仿宋" w:hAnsi="仿宋" w:eastAsia="仿宋" w:cs="仿宋"/>
          <w:b/>
          <w:color w:val="000000"/>
          <w:szCs w:val="21"/>
        </w:rPr>
        <w:t>甲方在理财产品全部赎回或兑付前，不得就原认（申）购时使用的银行账户办理销户。</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10.甲方为机构投资者时，应保证已按公司章程等有关规定和程序取得办理理财业务所需的充分授权，并保证该等授权合法并持续有效。</w:t>
      </w:r>
    </w:p>
    <w:p>
      <w:pPr>
        <w:pStyle w:val="bd1d9df9"/>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11</w:t>
      </w:r>
      <w:r>
        <w:rPr>
          <w:rFonts w:hint="eastAsia" w:ascii="仿宋" w:hAnsi="仿宋" w:eastAsia="仿宋" w:cs="仿宋"/>
          <w:bCs/>
          <w:color w:val="000000"/>
          <w:szCs w:val="21"/>
        </w:rPr>
        <w:t>.</w:t>
      </w:r>
      <w:r>
        <w:rPr>
          <w:rFonts w:hint="eastAsia" w:ascii="仿宋" w:hAnsi="仿宋" w:eastAsia="仿宋" w:cs="仿宋"/>
          <w:b/>
          <w:bCs/>
          <w:color w:val="000000"/>
          <w:szCs w:val="21"/>
        </w:rPr>
        <w:t>在产品存续期内，除非出现按照产品说明书约定终止理财产品的情形，否则不得要求乙方在产品非开放日前退还已扣款项或以任何形式清算其持有的理财产品份额。</w:t>
      </w:r>
    </w:p>
    <w:p>
      <w:pPr>
        <w:pStyle w:val="bd1d9df9"/>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（三）乙方的权利</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1.依法募集理财资金。</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2.理财产品成立后，根据法律法规、监管规定和理财产品销售文件约定独立运用并管理理财产品财产。</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3.按照理财产品销售文件约定，</w:t>
      </w:r>
      <w:r>
        <w:rPr>
          <w:rFonts w:hint="eastAsia" w:ascii="仿宋" w:hAnsi="仿宋" w:eastAsia="仿宋" w:cs="仿宋"/>
          <w:color w:val="1E1E1E"/>
          <w:szCs w:val="21"/>
        </w:rPr>
        <w:t>收取</w:t>
      </w:r>
      <w:r>
        <w:rPr>
          <w:rFonts w:hint="eastAsia" w:ascii="仿宋" w:hAnsi="仿宋" w:eastAsia="仿宋" w:cs="仿宋"/>
          <w:color w:val="000000"/>
          <w:szCs w:val="21"/>
        </w:rPr>
        <w:t>管理费用。</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4.依照有关规定行使因理财产品财产投资于证券所产生的权利。</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5.选聘并监督理财产品托管人。</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Cs/>
          <w:color w:val="000000"/>
          <w:szCs w:val="21"/>
        </w:rPr>
        <w:t>.</w:t>
      </w:r>
      <w:r>
        <w:rPr>
          <w:rFonts w:hint="eastAsia" w:ascii="仿宋" w:hAnsi="仿宋" w:eastAsia="仿宋" w:cs="仿宋"/>
          <w:color w:val="000000"/>
          <w:szCs w:val="21"/>
        </w:rPr>
        <w:t>选择、更换代销机构，对代销机构的销售行为进行监督和管理。</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7</w:t>
      </w:r>
      <w:r>
        <w:rPr>
          <w:rFonts w:hint="eastAsia" w:ascii="仿宋" w:hAnsi="仿宋" w:eastAsia="仿宋" w:cs="仿宋"/>
          <w:bCs/>
          <w:color w:val="000000"/>
          <w:szCs w:val="21"/>
        </w:rPr>
        <w:t>.</w:t>
      </w:r>
      <w:r>
        <w:rPr>
          <w:rFonts w:hint="eastAsia" w:ascii="仿宋" w:hAnsi="仿宋" w:eastAsia="仿宋" w:cs="仿宋"/>
          <w:color w:val="000000"/>
          <w:szCs w:val="21"/>
        </w:rPr>
        <w:t>为理财产品选聘理财投资合作机构；选聘、更换律师事务所、会计师事务所、证券经纪商或其他为理财产品提供服务的外部机构。</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8.依据理财产品销售文件及有关法律规定分配理财产品收益。</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9.在理财产品销售文件约定的权限范围内，拒绝或暂停受理认/申购与赎回申请。</w:t>
      </w:r>
    </w:p>
    <w:p>
      <w:pPr>
        <w:pStyle w:val="bd1d9df9"/>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10.全权负责理财产品财产运用及管理；有权代表理财及其全部投资人行使因理财产品财产投资于证券所产生的权利，包括对相关事项进行表决；有权按照法律法规、监管规定以及投资相关的法律文件约定处置理财产品投资产生的风险资产，处置方式包括但不限于转让、重组、债转股、资产证券化、破产重组等；有权以理财产品管理人的名义，代表理财产品投资者的利益行使诉讼权利或者实施其他法律行为；为理财产品的利益依法进行融资、融券及转融通证券出借业务。</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11.在符合法律法规、监管规定的前提下，制订和调整有关理财产品认购、申购、赎回、转换、非交易过户和收益分配等业务规则。</w:t>
      </w:r>
    </w:p>
    <w:p>
      <w:pPr>
        <w:pStyle w:val="bd1d9df9"/>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12</w:t>
      </w:r>
      <w:r>
        <w:rPr>
          <w:rFonts w:hint="eastAsia" w:ascii="仿宋" w:hAnsi="仿宋" w:eastAsia="仿宋" w:cs="仿宋"/>
          <w:b/>
          <w:bCs/>
          <w:color w:val="000000"/>
          <w:szCs w:val="21"/>
        </w:rPr>
        <w:t>.</w:t>
      </w:r>
      <w:r>
        <w:rPr>
          <w:rFonts w:hint="eastAsia" w:ascii="仿宋" w:hAnsi="仿宋" w:eastAsia="仿宋" w:cs="仿宋"/>
          <w:b/>
          <w:color w:val="000000"/>
          <w:szCs w:val="21"/>
        </w:rPr>
        <w:t>乙方或代销机构发现或有合理理由怀疑甲方存在洗钱、恐怖融资、逃税等嫌疑，乙方有权提前终止本协议，由此造成甲方损失的，乙方不承担责任。</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13.法律法规、监管规定、理财产品销售文件赋予乙方的其他权利。</w:t>
      </w:r>
    </w:p>
    <w:p>
      <w:pPr>
        <w:pStyle w:val="bd1d9df9"/>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（四）乙方的义务：</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1.依法募集资金，办理产品份额的发售和登记事宜。</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2.发行理财产品，办理理财产品的登记备案。</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3.对所管理的不同理财产品受托财产分别管理、分别记账，进行投资。</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4.按照理财产品销售文件的约定确定收益分配方案，及时向投资者分配收益。</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5.进行理财产品的会计核算并编制产品财务会计报告。</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6.依法计算并披露理财产品净值或者投资收益情况，确定申购、赎回价格。</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7.办理与理财产品管理业务活动有关的信息披露事项。</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8.保存理财产品管理业务活动的记录、账册、报表和其他相关资料。</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9.以理财产品管理人名义，代表投资者利益行使诉讼权利或者实施其他法律行为。</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10.在兑付受托资金及收益时，保证受托资金及收益返回投资者的原认（申）购时使用的银行账户。</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11.监管部门规定的其他职责。</w:t>
      </w:r>
    </w:p>
    <w:p>
      <w:pPr>
        <w:pStyle w:val="bd1d9df9"/>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七、理财产品托管</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乙方可选聘托管人，并根据监管规定与托管人签订理财产品托管协议。托管人接受乙方委托，在乙方委托范围内，办理乙方交付的理财产品财产资金的托管事宜。</w:t>
      </w:r>
    </w:p>
    <w:p>
      <w:pPr>
        <w:pStyle w:val="bd1d9df9"/>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八、理财产品投资</w:t>
      </w:r>
    </w:p>
    <w:p>
      <w:pPr>
        <w:pStyle w:val="bd1d9df9"/>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（一）投资目标</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乙方按照理财产品说明书约定的投资策略、投资范围、投资资产种类及其投资比例，对理财产品进行投资和管理。金融市场发生重大变化导致理财产品投资比例暂时超出浮动区间且可能对理财产品收益产生重大影响的，乙方将及时向投资者进行信息披露。</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乙方可能根据市场情况调整投资范围、投资资产种类或投资比例，并按照有关规定履行信息披露义务。超出理财产品销售文件约定比例的，除高风险类型的理财产品超出比例范围投资较低风险资产外，乙方应当先取得甲方书面同意，并在全国银行业理财信息登记系统做好理财产品信息登记；甲方不接受的，可按照销售文件约定提前赎回理财产品。</w:t>
      </w:r>
    </w:p>
    <w:p>
      <w:pPr>
        <w:pStyle w:val="bd1d9df9"/>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（二）投资范围</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具体投资范围、投资比例详见理财产品说明书。</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（三）投资合作机构</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甲方同意乙方根据法律法规及监管规定、依据理财产品投资管理需要选聘理财产品投资合作机构。</w:t>
      </w:r>
    </w:p>
    <w:p>
      <w:pPr>
        <w:pStyle w:val="bd1d9df9"/>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（四）投资限制</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理财产品不得直接投资于信贷资产，不得直接或间接投资于管理人主要股东的信贷资产及其受（收）益权，不得直接或间接投资于管理人主要股东发行的次级档资产支持证券，面向非机构投资者发行的理财产品不得直接或间接投资于不良资产受（收）益权。</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理财产品不得直接或间接投资于乙方发行的其他理财产品，国务院银行业监督管理机构另有规定的除外。</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具体投资限制以法律法规规定、理财产品说明书约定为准。</w:t>
      </w:r>
    </w:p>
    <w:p>
      <w:pPr>
        <w:pStyle w:val="bd1d9df9"/>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九、费用</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1.乙方依据销售（代理销售）协议书、理财产品说明书约定的费用项目、收费条件、费率标准、收费方式等要素收取相关费用。</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2.乙方可根据市场情况调整已约定的收费项目、收费条件、费率标准和收费方式，并在生效前通过约定信息披露途径予以披露。甲方不同意的，可根据公告信息赎回产品。</w:t>
      </w:r>
    </w:p>
    <w:p>
      <w:pPr>
        <w:pStyle w:val="bd1d9df9"/>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十、理财产品信息披露</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乙方通过本公司</w:t>
      </w:r>
      <w:r>
        <w:rPr>
          <w:rFonts w:hint="eastAsia" w:ascii="仿宋" w:hAnsi="仿宋" w:eastAsia="仿宋" w:cs="仿宋"/>
          <w:color w:val="000000"/>
          <w:szCs w:val="21"/>
          <w:lang w:eastAsia="zh-CN"/>
        </w:rPr>
        <w:t>、</w:t>
      </w:r>
      <w:r>
        <w:rPr>
          <w:rFonts w:hint="eastAsia" w:ascii="仿宋" w:hAnsi="仿宋" w:eastAsia="仿宋" w:cs="仿宋"/>
          <w:color w:val="000000"/>
          <w:szCs w:val="21"/>
        </w:rPr>
        <w:t>代销机构官方渠道</w:t>
      </w:r>
      <w:r>
        <w:rPr>
          <w:rFonts w:hint="eastAsia" w:ascii="仿宋" w:hAnsi="仿宋" w:eastAsia="仿宋" w:cs="仿宋"/>
          <w:color w:val="000000"/>
          <w:szCs w:val="21"/>
          <w:lang w:eastAsia="zh-CN"/>
        </w:rPr>
        <w:t>（</w:t>
      </w:r>
      <w:r>
        <w:rPr>
          <w:rFonts w:hint="eastAsia" w:ascii="仿宋" w:hAnsi="仿宋" w:eastAsia="仿宋" w:cs="仿宋"/>
          <w:color w:val="000000"/>
          <w:szCs w:val="21"/>
          <w:lang w:val="en-US" w:eastAsia="zh-CN"/>
        </w:rPr>
        <w:t>如有</w:t>
      </w:r>
      <w:r>
        <w:rPr>
          <w:rFonts w:hint="eastAsia" w:ascii="仿宋" w:hAnsi="仿宋" w:eastAsia="仿宋" w:cs="仿宋"/>
          <w:color w:val="000000"/>
          <w:szCs w:val="21"/>
          <w:lang w:eastAsia="zh-CN"/>
        </w:rPr>
        <w:t>）</w:t>
      </w:r>
      <w:r>
        <w:rPr>
          <w:rFonts w:hint="eastAsia" w:ascii="仿宋" w:hAnsi="仿宋" w:eastAsia="仿宋" w:cs="仿宋"/>
          <w:color w:val="000000"/>
          <w:szCs w:val="21"/>
        </w:rPr>
        <w:t>、行业统一信息披露渠道或与投资者约定的其他渠道披露在售及存续的理财产品相关信息。具体信息披露方式及途径以理财产品说明书约定为准。</w:t>
      </w:r>
    </w:p>
    <w:p>
      <w:pPr>
        <w:pStyle w:val="bd1d9df9"/>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投资者应定期通过上述相关渠道获知有关信息。如投资者未及时查询产品信息产生的责任和风险由投资者承担。</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投资者可依据乙方披露的理财产品登记编码在“中国理财网”查询理财产品信息。</w:t>
      </w:r>
    </w:p>
    <w:p>
      <w:pPr>
        <w:pStyle w:val="bd1d9df9"/>
        <w:adjustRightInd w:val="0"/>
        <w:snapToGrid w:val="0"/>
        <w:spacing w:line="360" w:lineRule="auto"/>
        <w:ind w:firstLine="422" w:firstLineChars="200"/>
        <w:jc w:val="left"/>
        <w:outlineLvl w:val="0"/>
        <w:rPr>
          <w:rFonts w:hint="eastAsia" w:ascii="仿宋" w:hAnsi="仿宋" w:eastAsia="仿宋" w:cs="仿宋"/>
          <w:color w:val="000000"/>
          <w:szCs w:val="21"/>
        </w:rPr>
      </w:pPr>
      <w:r>
        <w:rPr>
          <w:rFonts w:hint="eastAsia" w:ascii="仿宋" w:hAnsi="仿宋" w:eastAsia="仿宋" w:cs="仿宋"/>
          <w:b/>
          <w:bCs/>
          <w:color w:val="000000"/>
          <w:szCs w:val="21"/>
        </w:rPr>
        <w:t>十一、个人信息使用授权</w:t>
      </w:r>
    </w:p>
    <w:p>
      <w:pPr>
        <w:pStyle w:val="bd1d9df9"/>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（一）个人信息使用授权</w:t>
      </w:r>
    </w:p>
    <w:p>
      <w:pPr>
        <w:pStyle w:val="bd1d9df9"/>
        <w:adjustRightInd w:val="0"/>
        <w:snapToGrid w:val="0"/>
        <w:spacing w:line="360" w:lineRule="auto"/>
        <w:ind w:firstLine="400" w:firstLineChars="200"/>
        <w:rPr>
          <w:rFonts w:hint="eastAsia" w:ascii="仿宋" w:hAnsi="仿宋" w:eastAsia="仿宋" w:cs="仿宋"/>
          <w:color w:val="000000"/>
          <w:szCs w:val="21"/>
        </w:rPr>
      </w:pPr>
      <w:r>
        <w:rPr>
          <w:rFonts w:hint="eastAsia" w:ascii="仿宋" w:hAnsi="仿宋" w:eastAsia="仿宋" w:cs="仿宋"/>
          <w:color w:val="000000"/>
          <w:sz w:val="20"/>
          <w:szCs w:val="21"/>
        </w:rPr>
        <w:t>个人信息是以电子或者其他方式记录的，与已识别或者可识别的自然人有关的各种信息，不包括匿名化处理后的信息。</w:t>
      </w:r>
      <w:r>
        <w:rPr>
          <w:rFonts w:hint="eastAsia" w:ascii="仿宋" w:hAnsi="仿宋" w:eastAsia="仿宋" w:cs="仿宋"/>
          <w:color w:val="000000"/>
          <w:szCs w:val="21"/>
        </w:rPr>
        <w:t>甲方同意并自愿授权乙方在提供理财业务服务所必需的情形下，</w:t>
      </w:r>
      <w:r>
        <w:rPr>
          <w:rFonts w:hint="eastAsia" w:ascii="仿宋" w:hAnsi="仿宋" w:eastAsia="仿宋" w:cs="仿宋"/>
          <w:b/>
          <w:bCs/>
          <w:color w:val="000000"/>
          <w:szCs w:val="21"/>
        </w:rPr>
        <w:t>基于身份验证、理财业务办理、风险监测和保护账户资金安全、履行反洗钱和制裁要求、履行非居民金融账户涉税信息尽职调查义务、审计、客户服务与回访、统计分析和加工处理、归档和业务备份、履行其他法定义务等目的，以收集、存储、使用、传输、提供、删除等方式处理获取的如下甲方个人信息（当甲方为机构投资者时，为甲方经办人、法定代表人、实际控制人、实际受益人的个人信息，下同 ），包括</w:t>
      </w:r>
      <w:r>
        <w:rPr>
          <w:rFonts w:hint="eastAsia" w:ascii="仿宋" w:hAnsi="仿宋" w:eastAsia="仿宋" w:cs="仿宋"/>
          <w:color w:val="000000"/>
          <w:szCs w:val="21"/>
        </w:rPr>
        <w:t>：</w:t>
      </w:r>
    </w:p>
    <w:p>
      <w:pPr>
        <w:pStyle w:val="bd1d9df9"/>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1.身份信息：姓名、性别、国籍、职业、工作单位、住址、联系方式、手机号码、身份证件信息等；</w:t>
      </w:r>
    </w:p>
    <w:p>
      <w:pPr>
        <w:pStyle w:val="bd1d9df9"/>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2.财产信息：纳税信息等；</w:t>
      </w:r>
    </w:p>
    <w:p>
      <w:pPr>
        <w:pStyle w:val="bd1d9df9"/>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3.账户信息：银行卡号或账号信息等；</w:t>
      </w:r>
    </w:p>
    <w:p>
      <w:pPr>
        <w:pStyle w:val="bd1d9df9"/>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4.交易信息：交易金额，交易凭证等；</w:t>
      </w:r>
    </w:p>
    <w:p>
      <w:pPr>
        <w:pStyle w:val="bd1d9df9"/>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如果甲方不同意乙方处理上述个人信息，乙方将无法提供理财业务服务。</w:t>
      </w:r>
    </w:p>
    <w:p>
      <w:pPr>
        <w:pStyle w:val="bd1d9df9"/>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（二）敏感个人信息使用授权</w:t>
      </w:r>
    </w:p>
    <w:p>
      <w:pPr>
        <w:pStyle w:val="bd1d9df9"/>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以上甲方个人信息中身份证件信息、财产信息、账户信息、交易信息等属于甲方的敏感个人信息，甲方同意并授权乙方处理其敏感个人信息。甲方不同意乙方处理该信息的，乙方将可能无法提供理财业务服务。</w:t>
      </w:r>
    </w:p>
    <w:p>
      <w:pPr>
        <w:pStyle w:val="bd1d9df9"/>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知悉其敏感个人信息一旦发生泄露或者被非法使用的，容易导致甲方的人身、财产安全受到危害。乙方承诺将按照法律法规、监管规定等相关要求，在现有技术水平下，采取严格的保护措施保护甲方的敏感个人信息。</w:t>
      </w:r>
    </w:p>
    <w:p>
      <w:pPr>
        <w:pStyle w:val="bd1d9df9"/>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（三）对外提供个人信息</w:t>
      </w:r>
    </w:p>
    <w:p>
      <w:pPr>
        <w:pStyle w:val="bd1d9df9"/>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同意并自愿授权乙方根据法律法规、监管部门的规定或有权机关的命令，为履行反洗钱、反欺诈、开展金融账户涉税信息调查、公安及司法等有权机关查询/冻结/扣划、理财信息数据报送等法定职责或者法定义务之目的，将甲方的信息提供给银行业理财登记托管中心、理财业务监管机构及有权机关。</w:t>
      </w:r>
    </w:p>
    <w:p>
      <w:pPr>
        <w:pStyle w:val="bd1d9df9"/>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（四）征得授权同意的例外</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依据相关法律、行政法规的规定，在以下情形中收集、使用甲方的个人信息无需征得甲方的授权：</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
          <w:bCs/>
          <w:color w:val="000000"/>
          <w:szCs w:val="21"/>
        </w:rPr>
        <w:t>.</w:t>
      </w:r>
      <w:r>
        <w:rPr>
          <w:rFonts w:hint="eastAsia" w:ascii="仿宋" w:hAnsi="仿宋" w:eastAsia="仿宋" w:cs="仿宋"/>
          <w:color w:val="000000"/>
          <w:szCs w:val="21"/>
        </w:rPr>
        <w:t>为订立、履行合同所必需的；</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
          <w:bCs/>
          <w:color w:val="000000"/>
          <w:szCs w:val="21"/>
        </w:rPr>
        <w:t>.</w:t>
      </w:r>
      <w:r>
        <w:rPr>
          <w:rFonts w:hint="eastAsia" w:ascii="仿宋" w:hAnsi="仿宋" w:eastAsia="仿宋" w:cs="仿宋"/>
          <w:color w:val="000000"/>
          <w:szCs w:val="21"/>
        </w:rPr>
        <w:t>产品管理人为履行法定职责或者法定义务所必需；</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
          <w:bCs/>
          <w:color w:val="000000"/>
          <w:szCs w:val="21"/>
        </w:rPr>
        <w:t>.</w:t>
      </w:r>
      <w:r>
        <w:rPr>
          <w:rFonts w:hint="eastAsia" w:ascii="仿宋" w:hAnsi="仿宋" w:eastAsia="仿宋" w:cs="仿宋"/>
          <w:color w:val="000000"/>
          <w:szCs w:val="21"/>
        </w:rPr>
        <w:t>为应对突发公共卫生事件，或者紧急情况下为保护自然人的生命健康和财产安全所必需；</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w:t>
      </w:r>
      <w:r>
        <w:rPr>
          <w:rFonts w:hint="eastAsia" w:ascii="仿宋" w:hAnsi="仿宋" w:eastAsia="仿宋" w:cs="仿宋"/>
          <w:b/>
          <w:bCs/>
          <w:color w:val="000000"/>
          <w:szCs w:val="21"/>
        </w:rPr>
        <w:t>.</w:t>
      </w:r>
      <w:r>
        <w:rPr>
          <w:rFonts w:hint="eastAsia" w:ascii="仿宋" w:hAnsi="仿宋" w:eastAsia="仿宋" w:cs="仿宋"/>
          <w:color w:val="000000"/>
          <w:szCs w:val="21"/>
        </w:rPr>
        <w:t>为公共利益实施新闻报道、舆论监督等行为，在合理的范围内处理个人信息；</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w:t>
      </w:r>
      <w:r>
        <w:rPr>
          <w:rFonts w:hint="eastAsia" w:ascii="仿宋" w:hAnsi="仿宋" w:eastAsia="仿宋" w:cs="仿宋"/>
          <w:b/>
          <w:bCs/>
          <w:color w:val="000000"/>
          <w:szCs w:val="21"/>
        </w:rPr>
        <w:t>.</w:t>
      </w:r>
      <w:r>
        <w:rPr>
          <w:rFonts w:hint="eastAsia" w:ascii="仿宋" w:hAnsi="仿宋" w:eastAsia="仿宋" w:cs="仿宋"/>
          <w:color w:val="000000"/>
          <w:szCs w:val="21"/>
        </w:rPr>
        <w:t>在合理的范围内处理个人自行公开或者其他已经合法公开的个人信息；</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
          <w:bCs/>
          <w:color w:val="000000"/>
          <w:szCs w:val="21"/>
        </w:rPr>
        <w:t>.</w:t>
      </w:r>
      <w:r>
        <w:rPr>
          <w:rFonts w:hint="eastAsia" w:ascii="仿宋" w:hAnsi="仿宋" w:eastAsia="仿宋" w:cs="仿宋"/>
          <w:color w:val="000000"/>
          <w:szCs w:val="21"/>
        </w:rPr>
        <w:t>法律、法规规定的其他情形。</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（五）公开个人信息</w:t>
      </w:r>
    </w:p>
    <w:p>
      <w:pPr>
        <w:pStyle w:val="bd1d9df9"/>
        <w:adjustRightInd w:val="0"/>
        <w:snapToGrid w:val="0"/>
        <w:spacing w:line="360" w:lineRule="auto"/>
        <w:ind w:firstLine="402" w:firstLineChars="200"/>
        <w:rPr>
          <w:rFonts w:hint="eastAsia" w:ascii="仿宋" w:hAnsi="仿宋" w:eastAsia="仿宋" w:cs="仿宋"/>
          <w:b/>
          <w:bCs/>
          <w:color w:val="000000"/>
          <w:szCs w:val="21"/>
        </w:rPr>
      </w:pPr>
      <w:r>
        <w:rPr>
          <w:rFonts w:hint="eastAsia" w:ascii="仿宋" w:hAnsi="仿宋" w:eastAsia="仿宋" w:cs="仿宋"/>
          <w:b/>
          <w:bCs/>
          <w:color w:val="000000"/>
          <w:sz w:val="20"/>
          <w:szCs w:val="21"/>
        </w:rPr>
        <w:t>甲方知悉，乙方不会公开披露甲方的个人信息，如确需披露，乙方会告知甲方披露其个人信息的目的、类型，涉及敏感信息的还会告知敏感信息的内容，并事先征得甲方的同意。在法律法规、监管规定或有权机关命令的情况下，乙方可能会公开披露甲方的个人信息。</w:t>
      </w:r>
    </w:p>
    <w:p>
      <w:pPr>
        <w:pStyle w:val="bd1d9df9"/>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（六）其他</w:t>
      </w:r>
    </w:p>
    <w:p>
      <w:pPr>
        <w:pStyle w:val="bd1d9df9"/>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
          <w:bCs/>
          <w:color w:val="000000"/>
          <w:szCs w:val="21"/>
        </w:rPr>
        <w:t>.</w:t>
      </w:r>
      <w:r>
        <w:rPr>
          <w:rFonts w:hint="eastAsia" w:ascii="仿宋" w:hAnsi="仿宋" w:eastAsia="仿宋" w:cs="仿宋"/>
          <w:color w:val="000000"/>
          <w:szCs w:val="21"/>
        </w:rPr>
        <w:t>乙方获取的甲方个人信息及理财信息将存储在中华人民共和国境内。</w:t>
      </w:r>
    </w:p>
    <w:p>
      <w:pPr>
        <w:pStyle w:val="bd1d9df9"/>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
          <w:bCs/>
          <w:color w:val="000000"/>
          <w:szCs w:val="21"/>
        </w:rPr>
        <w:t>.</w:t>
      </w:r>
      <w:r>
        <w:rPr>
          <w:rFonts w:hint="eastAsia" w:ascii="仿宋" w:hAnsi="仿宋" w:eastAsia="仿宋" w:cs="仿宋"/>
          <w:color w:val="000000"/>
          <w:szCs w:val="21"/>
        </w:rPr>
        <w:t>在乙方提供理财业务服务期间，甲方的个人信息授权持续有效。乙方仅在法律法规、监管规定要求的期限内，以及为实现本业务信息处理之目的所必需的时限内保留甲方的个人信息。当超出保留期限后，乙方将按照法律法规的规定，对甲方的个人信息进行删除或匿名化处理等相关操作。</w:t>
      </w:r>
    </w:p>
    <w:p>
      <w:pPr>
        <w:pStyle w:val="bd1d9df9"/>
        <w:adjustRightInd w:val="0"/>
        <w:snapToGrid w:val="0"/>
        <w:spacing w:line="360" w:lineRule="auto"/>
        <w:ind w:firstLine="422" w:firstLineChars="200"/>
        <w:jc w:val="left"/>
        <w:rPr>
          <w:rFonts w:hint="eastAsia" w:ascii="仿宋" w:hAnsi="仿宋" w:eastAsia="仿宋" w:cs="仿宋"/>
          <w:b/>
          <w:bCs/>
          <w:color w:val="000000"/>
          <w:szCs w:val="21"/>
        </w:rPr>
      </w:pPr>
      <w:r>
        <w:rPr>
          <w:rFonts w:hint="eastAsia" w:ascii="仿宋" w:hAnsi="仿宋" w:eastAsia="仿宋" w:cs="仿宋"/>
          <w:b/>
          <w:bCs/>
          <w:color w:val="000000"/>
          <w:szCs w:val="21"/>
        </w:rPr>
        <w:t>3.</w:t>
      </w:r>
      <w:r>
        <w:rPr>
          <w:rFonts w:hint="eastAsia" w:ascii="仿宋" w:hAnsi="仿宋" w:eastAsia="仿宋" w:cs="仿宋"/>
          <w:b/>
          <w:bCs/>
          <w:color w:val="000000"/>
          <w:sz w:val="20"/>
          <w:szCs w:val="21"/>
        </w:rPr>
        <w:t>甲方有权通过</w:t>
      </w:r>
      <w:r>
        <w:rPr>
          <w:rFonts w:hint="eastAsia" w:ascii="仿宋" w:hAnsi="仿宋" w:eastAsia="仿宋" w:cs="仿宋"/>
          <w:b/>
          <w:bCs/>
          <w:color w:val="000000"/>
          <w:szCs w:val="21"/>
        </w:rPr>
        <w:t>理财销售机构</w:t>
      </w:r>
      <w:r>
        <w:rPr>
          <w:rFonts w:hint="eastAsia" w:ascii="仿宋" w:hAnsi="仿宋" w:eastAsia="仿宋" w:cs="仿宋"/>
          <w:b/>
          <w:bCs/>
          <w:color w:val="000000"/>
          <w:sz w:val="20"/>
          <w:szCs w:val="21"/>
        </w:rPr>
        <w:t>行使法律所赋予甲方对个人信息的知情权、决定权、查阅权、复制权、更正及补充权、删除权、解释权等，法律、行政法规另有</w:t>
      </w:r>
      <w:r>
        <w:rPr>
          <w:rFonts w:hint="eastAsia" w:ascii="仿宋" w:hAnsi="仿宋" w:eastAsia="仿宋" w:cs="仿宋"/>
          <w:b/>
          <w:bCs/>
          <w:color w:val="000000"/>
          <w:szCs w:val="21"/>
        </w:rPr>
        <w:t>规定的除外。</w:t>
      </w:r>
    </w:p>
    <w:p>
      <w:pPr>
        <w:pStyle w:val="bd1d9df9"/>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基于甲方同意乙方处理其个人信息的，甲方可以通过理财销售机构向乙方提出撤回处理个人信息的授权或改变授权同意的范围。甲方撤回对乙方处理个人信息的同意，乙方将可能无法继续提供理财业务服务。甲方撤回同意的，不会影响撤回前基于甲方同意乙方已进行的个人信息处理活动的效力。</w:t>
      </w:r>
    </w:p>
    <w:p>
      <w:pPr>
        <w:pStyle w:val="bd1d9df9"/>
        <w:adjustRightInd w:val="0"/>
        <w:snapToGrid w:val="0"/>
        <w:spacing w:line="360" w:lineRule="auto"/>
        <w:ind w:firstLine="422" w:firstLineChars="200"/>
        <w:jc w:val="left"/>
        <w:rPr>
          <w:rFonts w:hint="eastAsia" w:ascii="仿宋" w:hAnsi="仿宋" w:eastAsia="仿宋" w:cs="仿宋"/>
          <w:b/>
          <w:bCs/>
          <w:color w:val="000000"/>
          <w:szCs w:val="21"/>
        </w:rPr>
      </w:pPr>
      <w:r>
        <w:rPr>
          <w:rFonts w:hint="eastAsia" w:ascii="仿宋" w:hAnsi="仿宋" w:eastAsia="仿宋" w:cs="仿宋"/>
          <w:b/>
          <w:bCs/>
          <w:color w:val="000000"/>
          <w:szCs w:val="21"/>
        </w:rPr>
        <w:t>但如为履行合同所必需、或乙方为履行法定职责及义务等原因，乙方将可能无法响应甲方行使上述权利的请求。</w:t>
      </w:r>
    </w:p>
    <w:p>
      <w:pPr>
        <w:pStyle w:val="bd1d9df9"/>
        <w:adjustRightInd w:val="0"/>
        <w:snapToGrid w:val="0"/>
        <w:spacing w:line="360" w:lineRule="auto"/>
        <w:ind w:firstLine="420" w:firstLineChars="200"/>
        <w:jc w:val="left"/>
        <w:rPr>
          <w:rFonts w:hint="eastAsia" w:ascii="仿宋" w:hAnsi="仿宋" w:eastAsia="仿宋" w:cs="仿宋"/>
          <w:b/>
          <w:bCs/>
          <w:color w:val="000000"/>
          <w:szCs w:val="21"/>
        </w:rPr>
      </w:pPr>
      <w:r>
        <w:rPr>
          <w:rFonts w:hint="eastAsia" w:ascii="仿宋" w:hAnsi="仿宋" w:eastAsia="仿宋" w:cs="仿宋"/>
          <w:color w:val="000000"/>
          <w:szCs w:val="21"/>
        </w:rPr>
        <w:t>4.</w:t>
      </w:r>
      <w:r>
        <w:rPr>
          <w:rFonts w:hint="eastAsia" w:ascii="仿宋" w:hAnsi="仿宋" w:eastAsia="仿宋" w:cs="仿宋"/>
          <w:bCs/>
          <w:color w:val="000000"/>
          <w:szCs w:val="21"/>
        </w:rPr>
        <w:t>乙方对甲方的个人信息依法履行保密义务。对于甲方同意并自愿授权乙方处理的个人信息，乙方将严格按照法律法规、监管规定及与甲方的约定开展信息处理行为，并采取相应的安全措施来保护甲方的个人信息。</w:t>
      </w:r>
    </w:p>
    <w:p>
      <w:pPr>
        <w:pStyle w:val="bd1d9df9"/>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十二、免责条款</w:t>
      </w:r>
    </w:p>
    <w:p>
      <w:pPr>
        <w:pStyle w:val="bd1d9df9"/>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1</w:t>
      </w:r>
      <w:r>
        <w:rPr>
          <w:rFonts w:hint="eastAsia" w:ascii="仿宋" w:hAnsi="仿宋" w:eastAsia="仿宋" w:cs="仿宋"/>
          <w:b/>
          <w:bCs/>
          <w:color w:val="000000"/>
          <w:szCs w:val="21"/>
        </w:rPr>
        <w:t>.</w:t>
      </w:r>
      <w:r>
        <w:rPr>
          <w:rFonts w:hint="eastAsia" w:ascii="仿宋" w:hAnsi="仿宋" w:eastAsia="仿宋" w:cs="仿宋"/>
          <w:b/>
          <w:color w:val="000000"/>
          <w:szCs w:val="21"/>
        </w:rPr>
        <w:t>因不可抗力、非乙方原因发生的计算机系统故障、网络故障、通讯故障、电力故障等，导致的交易中断、延误等风险或给甲方产生的损失，乙方不承担责任。</w:t>
      </w:r>
    </w:p>
    <w:p>
      <w:pPr>
        <w:pStyle w:val="bd1d9df9"/>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2</w:t>
      </w:r>
      <w:r>
        <w:rPr>
          <w:rFonts w:hint="eastAsia" w:ascii="仿宋" w:hAnsi="仿宋" w:eastAsia="仿宋" w:cs="仿宋"/>
          <w:b/>
          <w:bCs/>
          <w:color w:val="000000"/>
          <w:szCs w:val="21"/>
        </w:rPr>
        <w:t>.</w:t>
      </w:r>
      <w:r>
        <w:rPr>
          <w:rFonts w:hint="eastAsia" w:ascii="仿宋" w:hAnsi="仿宋" w:eastAsia="仿宋" w:cs="仿宋"/>
          <w:b/>
          <w:color w:val="000000"/>
          <w:szCs w:val="21"/>
        </w:rPr>
        <w:t>由于国家的有关法律法规、监管规定的改变而导致甲方承担的风险，乙方不承担责任。</w:t>
      </w:r>
    </w:p>
    <w:p>
      <w:pPr>
        <w:pStyle w:val="bd1d9df9"/>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color w:val="000000"/>
          <w:szCs w:val="21"/>
        </w:rPr>
        <w:t>3</w:t>
      </w:r>
      <w:r>
        <w:rPr>
          <w:rFonts w:hint="eastAsia" w:ascii="仿宋" w:hAnsi="仿宋" w:eastAsia="仿宋" w:cs="仿宋"/>
          <w:b/>
          <w:bCs/>
          <w:color w:val="000000"/>
          <w:szCs w:val="21"/>
        </w:rPr>
        <w:t>.</w:t>
      </w:r>
      <w:r>
        <w:rPr>
          <w:rFonts w:hint="eastAsia" w:ascii="仿宋" w:hAnsi="仿宋" w:eastAsia="仿宋" w:cs="仿宋"/>
          <w:b/>
          <w:color w:val="000000"/>
          <w:szCs w:val="21"/>
        </w:rPr>
        <w:t>由于甲方的原因，理财资金被有权机关冻结、扣划，乙方不承担责任。</w:t>
      </w:r>
    </w:p>
    <w:p>
      <w:pPr>
        <w:pStyle w:val="bd1d9df9"/>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十三、违约责任</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甲方违反本协议所作声明或保证的，应承担相应违约责任。乙方对由此导致的甲方损失不承担责任，并有权单方终止双方的理财业务关系。</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Cs/>
          <w:color w:val="000000"/>
          <w:szCs w:val="21"/>
        </w:rPr>
        <w:t>.</w:t>
      </w:r>
      <w:r>
        <w:rPr>
          <w:rFonts w:hint="eastAsia" w:ascii="仿宋" w:hAnsi="仿宋" w:eastAsia="仿宋" w:cs="仿宋"/>
          <w:color w:val="000000"/>
          <w:szCs w:val="21"/>
        </w:rPr>
        <w:t>因甲方违反协议约定给乙方或理财产品其他投资者造成损失的，甲方应承担相应的赔偿责任。</w:t>
      </w:r>
    </w:p>
    <w:p>
      <w:pPr>
        <w:pStyle w:val="bd1d9df9"/>
        <w:adjustRightInd w:val="0"/>
        <w:snapToGrid w:val="0"/>
        <w:spacing w:line="360" w:lineRule="auto"/>
        <w:ind w:firstLine="420" w:firstLineChars="200"/>
        <w:rPr>
          <w:rFonts w:hint="eastAsia" w:ascii="仿宋" w:hAnsi="仿宋" w:eastAsia="仿宋" w:cs="仿宋"/>
          <w:b/>
          <w:bCs/>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甲方更换资金账户时，应及时通知乙方或代销机构并办理变更手续。甲方认购或申购理财产品时所登记的通讯方式及其他基本信息发生变更时，应及时通知乙方或代销机构。</w:t>
      </w:r>
      <w:r>
        <w:rPr>
          <w:rFonts w:hint="eastAsia" w:ascii="仿宋" w:hAnsi="仿宋" w:eastAsia="仿宋" w:cs="仿宋"/>
          <w:b/>
          <w:bCs/>
          <w:color w:val="000000"/>
          <w:szCs w:val="21"/>
        </w:rPr>
        <w:t>乙方提示甲方注意：因甲方留存信息有误或未及时通知理财产品销售机构变更信息导致的不利后果由甲方承担。</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w:t>
      </w:r>
      <w:r>
        <w:rPr>
          <w:rFonts w:hint="eastAsia" w:ascii="仿宋" w:hAnsi="仿宋" w:eastAsia="仿宋" w:cs="仿宋"/>
          <w:bCs/>
          <w:color w:val="000000"/>
          <w:szCs w:val="21"/>
        </w:rPr>
        <w:t>.</w:t>
      </w:r>
      <w:r>
        <w:rPr>
          <w:rFonts w:hint="eastAsia" w:ascii="仿宋" w:hAnsi="仿宋" w:eastAsia="仿宋" w:cs="仿宋"/>
          <w:color w:val="000000"/>
          <w:szCs w:val="21"/>
        </w:rPr>
        <w:t>因乙方违反本协议及理财产品销售文件的约定给甲方造成损失的，乙方应承担相应赔偿责任。</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w:t>
      </w:r>
      <w:r>
        <w:rPr>
          <w:rFonts w:hint="eastAsia" w:ascii="仿宋" w:hAnsi="仿宋" w:eastAsia="仿宋" w:cs="仿宋"/>
          <w:bCs/>
          <w:color w:val="000000"/>
          <w:szCs w:val="21"/>
        </w:rPr>
        <w:t>.</w:t>
      </w:r>
      <w:r>
        <w:rPr>
          <w:rFonts w:hint="eastAsia" w:ascii="仿宋" w:hAnsi="仿宋" w:eastAsia="仿宋" w:cs="仿宋"/>
          <w:color w:val="000000"/>
          <w:szCs w:val="21"/>
        </w:rPr>
        <w:t>发生不可抗力，导致双方不能继续履行理财协议时，应根据不可抗力的影响程度，全部或部分免除未履约方的责任，但法律法规、监管另有规定的除外。一方当事人因不可抗力事件导致无法履行理财协议时，应及时通知对方，并应采取适当措施防止损失扩大。</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Cs/>
          <w:color w:val="000000"/>
          <w:szCs w:val="21"/>
        </w:rPr>
        <w:t>.</w:t>
      </w:r>
      <w:r>
        <w:rPr>
          <w:rFonts w:hint="eastAsia" w:ascii="仿宋" w:hAnsi="仿宋" w:eastAsia="仿宋" w:cs="仿宋"/>
          <w:color w:val="000000"/>
          <w:szCs w:val="21"/>
        </w:rPr>
        <w:t>因法律法规、监管规定调整，导致双方不能履行理财协议时，应根据其影响程度，部分或全部免除未履约方的责任。一方当事人因上述原因无法履行理财协议时，应及时通知对方并应采取适当措施防止损失扩大。</w:t>
      </w:r>
    </w:p>
    <w:p>
      <w:pPr>
        <w:pStyle w:val="bd1d9df9"/>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十四、争议的处理</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当事人发生纠纷的，双方应首先本着诚实信用原则通过协商解决。协商不成的，任何一方均可向被告所在地有管辖权的人民法院提起诉讼。</w:t>
      </w:r>
    </w:p>
    <w:p>
      <w:pPr>
        <w:pStyle w:val="bd1d9df9"/>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十五、销售文件留存</w:t>
      </w:r>
    </w:p>
    <w:p>
      <w:pPr>
        <w:pStyle w:val="bd1d9df9"/>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本协议经甲方签署（包括线下签约和电子渠道签约）后，甲方可向理财产品销售机构索取留存。甲方未留存的，视为甲方自动放弃留存相关文件的权利，并自行承担由此可能导致的不利影响或后果。</w:t>
      </w:r>
    </w:p>
    <w:p>
      <w:pPr>
        <w:pStyle w:val="bd1d9df9"/>
        <w:adjustRightInd w:val="0"/>
        <w:snapToGrid w:val="0"/>
        <w:spacing w:line="360" w:lineRule="auto"/>
        <w:ind w:firstLine="422" w:firstLineChars="200"/>
        <w:jc w:val="left"/>
        <w:outlineLvl w:val="0"/>
        <w:rPr>
          <w:rFonts w:hint="eastAsia" w:ascii="仿宋" w:hAnsi="仿宋" w:eastAsia="仿宋" w:cs="仿宋"/>
          <w:color w:val="000000"/>
          <w:szCs w:val="21"/>
        </w:rPr>
      </w:pPr>
      <w:r>
        <w:rPr>
          <w:rFonts w:hint="eastAsia" w:ascii="仿宋" w:hAnsi="仿宋" w:eastAsia="仿宋" w:cs="仿宋"/>
          <w:b/>
          <w:bCs/>
          <w:color w:val="000000"/>
          <w:szCs w:val="21"/>
        </w:rPr>
        <w:t>十六、协议的生效</w:t>
      </w:r>
    </w:p>
    <w:p>
      <w:pPr>
        <w:pStyle w:val="bd1d9df9"/>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（一）协议生效</w:t>
      </w:r>
    </w:p>
    <w:p>
      <w:pPr>
        <w:pStyle w:val="bd1d9df9"/>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甲方通过销售机构网点柜面渠道签署本协议的，经甲方签字或加盖有效印章后，且乙方确认甲方成功认/申购并收到甲方缴付的全部投资本金之日起生效。</w:t>
      </w:r>
    </w:p>
    <w:p>
      <w:pPr>
        <w:pStyle w:val="bd1d9df9"/>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通过销售机构电子渠道签署本协议的，自甲方通过销售机构电子渠道确认同意后，且乙方确认甲方成功认/申购并收到甲方缴付的全部投资本金之日起生效。甲方认可线上点击同意具有与书面签署同等的法律效力。</w:t>
      </w:r>
    </w:p>
    <w:p>
      <w:pPr>
        <w:pStyle w:val="bd1d9df9"/>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甲方知悉并确认，乙方对于理财产品项下甲方认/申购份额的确认即视为乙方对于本协议的签署和认可；甲方不得以乙方不在本协议中签章为由主张本协议不成立或不生效。</w:t>
      </w: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（二）协议的终止</w:t>
      </w:r>
    </w:p>
    <w:p>
      <w:pPr>
        <w:pStyle w:val="bd1d9df9"/>
        <w:tabs>
          <w:tab w:val="left" w:pos="312"/>
        </w:tabs>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除按产品说明书约定甲方或乙方享有的提前终止权外，甲方有违约行为或交易资金被国家有权机关采取保全措施时，乙方有权提前终止本协议。</w:t>
      </w:r>
    </w:p>
    <w:p>
      <w:pPr>
        <w:pStyle w:val="bd1d9df9"/>
        <w:tabs>
          <w:tab w:val="left" w:pos="312"/>
        </w:tabs>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color w:val="000000"/>
          <w:szCs w:val="21"/>
        </w:rPr>
        <w:t>2</w:t>
      </w:r>
      <w:r>
        <w:rPr>
          <w:rFonts w:hint="eastAsia" w:ascii="仿宋" w:hAnsi="仿宋" w:eastAsia="仿宋" w:cs="仿宋"/>
          <w:b/>
          <w:bCs/>
          <w:color w:val="000000"/>
          <w:szCs w:val="21"/>
        </w:rPr>
        <w:t>.乙方宣布理财计划设立失败、甲方全部赎回理财产品份额或理财产品到期并完成清算分配后，本协议自动终止。甲方通过乙方或代销机构提交的理财产品赎回/撤单申请，按产品说明书约定经乙方或销售机构确认后方可生效。</w:t>
      </w:r>
    </w:p>
    <w:p>
      <w:pPr>
        <w:pStyle w:val="bd1d9df9"/>
        <w:adjustRightInd w:val="0"/>
        <w:snapToGrid w:val="0"/>
        <w:spacing w:line="360" w:lineRule="auto"/>
        <w:ind w:firstLine="42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本协议及产品说明书项下各方权利义务履行完毕之日，本协议自动终止。</w:t>
      </w:r>
    </w:p>
    <w:p>
      <w:pPr>
        <w:pStyle w:val="bd1d9df9"/>
        <w:adjustRightInd w:val="0"/>
        <w:snapToGrid w:val="0"/>
        <w:spacing w:line="360" w:lineRule="auto"/>
        <w:ind w:firstLine="420" w:firstLineChars="200"/>
        <w:rPr>
          <w:rFonts w:hint="eastAsia" w:ascii="仿宋" w:hAnsi="仿宋" w:eastAsia="仿宋" w:cs="仿宋"/>
          <w:color w:val="000000"/>
          <w:szCs w:val="21"/>
        </w:rPr>
      </w:pPr>
    </w:p>
    <w:p>
      <w:pPr>
        <w:pStyle w:val="bd1d9df9"/>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确认已完整阅读本产品风险揭示书、产品说明书及本协议，并知悉确认全部条款，基于自身独立判断签署本协议。甲方知悉并确认乙方对于理财产品项下甲方认/申购份额的确认即视为乙方对于本协议的签署和认可，甲方不得以乙方不在本协议中签章为由主张本协议不成立或不生效。</w:t>
      </w:r>
    </w:p>
    <w:p>
      <w:pPr>
        <w:pStyle w:val="bd1d9df9"/>
        <w:adjustRightInd w:val="0"/>
        <w:snapToGrid w:val="0"/>
        <w:spacing w:line="360" w:lineRule="auto"/>
        <w:ind w:firstLine="422" w:firstLineChars="200"/>
        <w:rPr>
          <w:rFonts w:hint="eastAsia" w:ascii="仿宋" w:hAnsi="仿宋" w:eastAsia="仿宋" w:cs="仿宋"/>
          <w:b/>
          <w:bCs/>
          <w:color w:val="000000"/>
          <w:szCs w:val="21"/>
        </w:rPr>
      </w:pPr>
    </w:p>
    <w:p>
      <w:pPr>
        <w:pStyle w:val="bd1d9df9"/>
        <w:adjustRightInd w:val="0"/>
        <w:snapToGrid w:val="0"/>
        <w:spacing w:line="360" w:lineRule="auto"/>
        <w:ind w:firstLine="422" w:firstLineChars="200"/>
        <w:rPr>
          <w:rFonts w:hint="eastAsia" w:ascii="仿宋" w:hAnsi="仿宋" w:eastAsia="仿宋" w:cs="仿宋"/>
          <w:b/>
          <w:bCs/>
          <w:color w:val="000000"/>
          <w:szCs w:val="21"/>
        </w:rPr>
      </w:pPr>
    </w:p>
    <w:p>
      <w:pPr>
        <w:pStyle w:val="bd1d9df9"/>
        <w:adjustRightInd w:val="0"/>
        <w:snapToGrid w:val="0"/>
        <w:spacing w:line="360" w:lineRule="auto"/>
        <w:ind w:firstLine="420" w:firstLineChars="200"/>
        <w:rPr>
          <w:rFonts w:hint="eastAsia" w:ascii="仿宋" w:hAnsi="仿宋" w:eastAsia="仿宋" w:cs="仿宋"/>
        </w:rPr>
      </w:pPr>
    </w:p>
    <w:p>
      <w:pPr>
        <w:pStyle w:val="bd1d9df9"/>
        <w:adjustRightInd w:val="0"/>
        <w:snapToGrid w:val="0"/>
        <w:spacing w:line="360" w:lineRule="auto"/>
        <w:ind w:firstLine="420" w:firstLineChars="200"/>
        <w:rPr>
          <w:rFonts w:hint="eastAsia" w:ascii="仿宋" w:hAnsi="仿宋" w:eastAsia="仿宋" w:cs="仿宋"/>
        </w:rPr>
      </w:pPr>
    </w:p>
    <w:p>
      <w:pPr>
        <w:pStyle w:val="bd1d9df9"/>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甲方自然人（签字或线上确认同意）：            乙方：华夏理财有限责任公司</w:t>
      </w:r>
    </w:p>
    <w:p>
      <w:pPr>
        <w:pStyle w:val="bd1d9df9"/>
        <w:adjustRightInd w:val="0"/>
        <w:snapToGrid w:val="0"/>
        <w:spacing w:line="360" w:lineRule="auto"/>
        <w:ind w:firstLine="420" w:firstLineChars="200"/>
        <w:rPr>
          <w:rFonts w:hint="eastAsia" w:ascii="仿宋" w:hAnsi="仿宋" w:eastAsia="仿宋" w:cs="仿宋"/>
          <w:color w:val="000000"/>
          <w:szCs w:val="21"/>
        </w:rPr>
      </w:pPr>
    </w:p>
    <w:p>
      <w:pPr>
        <w:pStyle w:val="bd1d9df9"/>
        <w:adjustRightInd w:val="0"/>
        <w:snapToGrid w:val="0"/>
        <w:spacing w:line="360" w:lineRule="auto"/>
        <w:ind w:firstLine="210" w:firstLineChars="100"/>
        <w:rPr>
          <w:rFonts w:hint="eastAsia" w:ascii="仿宋" w:hAnsi="仿宋" w:eastAsia="仿宋" w:cs="仿宋"/>
          <w:color w:val="000000"/>
          <w:szCs w:val="21"/>
        </w:rPr>
      </w:pPr>
      <w:r>
        <w:rPr>
          <w:rFonts w:hint="eastAsia" w:ascii="仿宋" w:hAnsi="仿宋" w:eastAsia="仿宋" w:cs="仿宋"/>
          <w:color w:val="000000"/>
          <w:szCs w:val="21"/>
        </w:rPr>
        <w:t>（或）法人或其他组织（盖章或线上确认同意）</w:t>
      </w:r>
    </w:p>
    <w:p>
      <w:pPr>
        <w:pStyle w:val="bd1d9df9"/>
        <w:adjustRightInd w:val="0"/>
        <w:snapToGrid w:val="0"/>
        <w:spacing w:line="360" w:lineRule="auto"/>
        <w:ind w:firstLine="210" w:firstLineChars="100"/>
        <w:rPr>
          <w:rFonts w:hint="eastAsia" w:ascii="仿宋" w:hAnsi="仿宋" w:eastAsia="仿宋" w:cs="仿宋"/>
          <w:color w:val="000000"/>
          <w:szCs w:val="21"/>
        </w:rPr>
      </w:pPr>
      <w:r>
        <w:rPr>
          <w:rFonts w:hint="eastAsia" w:ascii="仿宋" w:hAnsi="仿宋" w:eastAsia="仿宋" w:cs="仿宋"/>
          <w:color w:val="000000"/>
          <w:szCs w:val="21"/>
        </w:rPr>
        <w:t xml:space="preserve">法定代表人或授权代表（签章或线上确认同意）                         </w:t>
      </w:r>
    </w:p>
    <w:p>
      <w:pPr>
        <w:pStyle w:val="bd1d9df9"/>
        <w:adjustRightInd w:val="0"/>
        <w:snapToGrid w:val="0"/>
        <w:spacing w:line="360" w:lineRule="auto"/>
        <w:ind w:firstLine="420" w:firstLineChars="200"/>
        <w:jc w:val="right"/>
      </w:pPr>
      <w:r>
        <w:rPr>
          <w:rFonts w:hint="eastAsia" w:ascii="仿宋" w:hAnsi="仿宋" w:eastAsia="仿宋" w:cs="仿宋"/>
          <w:color w:val="000000"/>
          <w:szCs w:val="21"/>
        </w:rPr>
        <w:t>年    月      日</w:t>
      </w:r>
    </w:p>
    <w:p>
      <w:pPr>
        <w:pStyle w:val="bd1d9df9"/>
        <w:pageBreakBefore w:val="true"/>
      </w:pPr>
    </w:p>
    <w:p>
      <w:pPr>
        <w:pStyle w:val="aa528885"/>
        <w:snapToGrid w:val="0"/>
        <w:spacing w:line="276" w:lineRule="auto"/>
        <w:jc w:val="center"/>
        <w:rPr>
          <w:rFonts w:ascii="Times New Roman" w:hAnsi="Times New Roman"/>
          <w:b/>
          <w:sz w:val="30"/>
          <w:szCs w:val="30"/>
        </w:rPr>
      </w:pPr>
      <w:bookmarkStart w:id="0" w:name="_GoBack"/>
      <w:r>
        <w:rPr>
          <w:rFonts w:ascii="Times New Roman" w:hAnsi="Times New Roman"/>
          <w:b/>
          <w:sz w:val="30"/>
          <w:szCs w:val="30"/>
        </w:rPr>
        <w:t>理财产品代理销售协议书</w:t>
      </w:r>
    </w:p>
    <w:bookmarkEnd w:id="0"/>
    <w:p>
      <w:pPr>
        <w:pStyle w:val="aa528885"/>
        <w:snapToGrid w:val="0"/>
        <w:spacing w:line="276" w:lineRule="auto"/>
        <w:jc w:val="left"/>
        <w:rPr>
          <w:rFonts w:hint="eastAsia" w:ascii="宋体" w:hAnsi="宋体" w:eastAsia="宋体" w:cs="宋体"/>
          <w:b/>
          <w:bCs w:val="0"/>
          <w:sz w:val="21"/>
          <w:szCs w:val="21"/>
          <w:lang w:val="en-US" w:eastAsia="zh-CN"/>
        </w:rPr>
      </w:pPr>
      <w:r>
        <w:rPr>
          <w:rFonts w:hint="eastAsia" w:ascii="宋体" w:hAnsi="宋体" w:cs="宋体"/>
          <w:b/>
          <w:bCs w:val="0"/>
          <w:sz w:val="21"/>
          <w:szCs w:val="21"/>
          <w:lang w:val="en-US" w:eastAsia="zh-CN"/>
        </w:rPr>
        <w:t>版本号：XMYH-</w:t>
      </w:r>
      <w:r>
        <w:rPr>
          <w:rFonts w:hint="eastAsia" w:ascii="宋体" w:hAnsi="宋体" w:eastAsia="宋体" w:cs="宋体"/>
          <w:b/>
          <w:bCs w:val="0"/>
          <w:sz w:val="21"/>
          <w:szCs w:val="21"/>
          <w:lang w:val="en-US" w:eastAsia="zh-CN"/>
        </w:rPr>
        <w:t>DL</w:t>
      </w:r>
      <w:r>
        <w:rPr>
          <w:rFonts w:hint="eastAsia" w:ascii="宋体" w:hAnsi="宋体" w:cs="宋体"/>
          <w:b/>
          <w:bCs w:val="0"/>
          <w:sz w:val="21"/>
          <w:szCs w:val="21"/>
          <w:lang w:val="en-US" w:eastAsia="zh-CN"/>
        </w:rPr>
        <w:t>XSXYS</w:t>
      </w:r>
      <w:r>
        <w:rPr>
          <w:rFonts w:hint="eastAsia" w:ascii="宋体" w:hAnsi="宋体" w:eastAsia="宋体" w:cs="宋体"/>
          <w:b/>
          <w:bCs w:val="0"/>
          <w:sz w:val="21"/>
          <w:szCs w:val="21"/>
          <w:lang w:val="en-US" w:eastAsia="zh-CN"/>
        </w:rPr>
        <w:t>-</w:t>
      </w:r>
      <w:r>
        <w:rPr>
          <w:rFonts w:hint="eastAsia" w:ascii="宋体" w:hAnsi="宋体" w:cs="宋体"/>
          <w:b/>
          <w:bCs w:val="0"/>
          <w:sz w:val="21"/>
          <w:szCs w:val="21"/>
          <w:lang w:val="en-US" w:eastAsia="zh-CN"/>
        </w:rPr>
        <w:t>202510</w:t>
      </w:r>
    </w:p>
    <w:p>
      <w:pPr>
        <w:pStyle w:val="aa528885"/>
        <w:snapToGrid w:val="0"/>
        <w:spacing w:line="276" w:lineRule="auto"/>
        <w:jc w:val="center"/>
        <w:rPr>
          <w:rFonts w:ascii="Times New Roman" w:hAnsi="Times New Roman" w:eastAsia="仿宋_GB2312"/>
          <w:szCs w:val="21"/>
        </w:rPr>
      </w:pPr>
    </w:p>
    <w:p>
      <w:pPr>
        <w:pStyle w:val="aa528885"/>
        <w:autoSpaceDE w:val="0"/>
        <w:autoSpaceDN w:val="0"/>
        <w:adjustRightInd w:val="0"/>
        <w:snapToGrid w:val="0"/>
        <w:spacing w:line="276" w:lineRule="auto"/>
        <w:ind w:firstLine="396" w:firstLineChars="200"/>
        <w:rPr>
          <w:rFonts w:ascii="Times New Roman" w:hAnsi="Times New Roman"/>
          <w:spacing w:val="-6"/>
          <w:szCs w:val="21"/>
        </w:rPr>
      </w:pPr>
      <w:r>
        <w:rPr>
          <w:rFonts w:ascii="Times New Roman" w:hAnsi="Times New Roman"/>
          <w:spacing w:val="-6"/>
          <w:szCs w:val="21"/>
        </w:rPr>
        <w:t>本协议的甲方指</w:t>
      </w:r>
      <w:r>
        <w:rPr>
          <w:rFonts w:hint="eastAsia" w:ascii="Times New Roman" w:hAnsi="Times New Roman"/>
          <w:spacing w:val="-6"/>
          <w:szCs w:val="21"/>
          <w:lang w:val="en-US" w:eastAsia="zh-CN"/>
        </w:rPr>
        <w:t>个人</w:t>
      </w:r>
      <w:r>
        <w:rPr>
          <w:rFonts w:hint="eastAsia" w:ascii="Times New Roman" w:hAnsi="Times New Roman"/>
          <w:spacing w:val="-6"/>
          <w:szCs w:val="21"/>
        </w:rPr>
        <w:t>投资者</w:t>
      </w:r>
      <w:r>
        <w:rPr>
          <w:rFonts w:ascii="Times New Roman" w:hAnsi="Times New Roman"/>
          <w:spacing w:val="-6"/>
          <w:szCs w:val="21"/>
        </w:rPr>
        <w:t>，乙方指</w:t>
      </w:r>
      <w:r>
        <w:rPr>
          <w:rFonts w:hint="eastAsia" w:ascii="Times New Roman" w:hAnsi="Times New Roman"/>
          <w:spacing w:val="-6"/>
          <w:szCs w:val="21"/>
          <w:highlight w:val="none"/>
          <w:lang w:val="en-US" w:eastAsia="zh-CN"/>
        </w:rPr>
        <w:t>厦门银行股份有限公司</w:t>
      </w:r>
      <w:r>
        <w:rPr>
          <w:rFonts w:ascii="Times New Roman" w:hAnsi="Times New Roman"/>
          <w:spacing w:val="-6"/>
          <w:szCs w:val="21"/>
          <w:highlight w:val="none"/>
        </w:rPr>
        <w:t>。</w:t>
      </w:r>
    </w:p>
    <w:p>
      <w:pPr>
        <w:pStyle w:val="aa528885"/>
        <w:autoSpaceDE w:val="0"/>
        <w:autoSpaceDN w:val="0"/>
        <w:adjustRightInd w:val="0"/>
        <w:snapToGrid w:val="0"/>
        <w:spacing w:line="276" w:lineRule="auto"/>
        <w:ind w:firstLine="396" w:firstLineChars="200"/>
        <w:rPr>
          <w:rFonts w:ascii="Times New Roman" w:hAnsi="Times New Roman"/>
          <w:spacing w:val="-6"/>
          <w:szCs w:val="21"/>
        </w:rPr>
      </w:pPr>
      <w:r>
        <w:rPr>
          <w:rFonts w:ascii="Times New Roman" w:hAnsi="Times New Roman"/>
          <w:spacing w:val="-6"/>
          <w:szCs w:val="21"/>
        </w:rPr>
        <w:t>乙方为理财产品代理销售机构，接受理财产品发行机构</w:t>
      </w:r>
      <w:r>
        <w:rPr>
          <w:rFonts w:hint="eastAsia" w:ascii="Times New Roman" w:hAnsi="Times New Roman"/>
          <w:spacing w:val="-6"/>
          <w:szCs w:val="21"/>
          <w:lang w:val="en-US" w:eastAsia="zh-CN"/>
        </w:rPr>
        <w:t>(管理人)</w:t>
      </w:r>
      <w:r>
        <w:rPr>
          <w:rFonts w:ascii="Times New Roman" w:hAnsi="Times New Roman"/>
          <w:spacing w:val="-6"/>
          <w:szCs w:val="21"/>
        </w:rPr>
        <w:t>的委托</w:t>
      </w:r>
      <w:r>
        <w:rPr>
          <w:rFonts w:hint="eastAsia" w:ascii="Times New Roman" w:hAnsi="Times New Roman"/>
          <w:spacing w:val="-6"/>
          <w:szCs w:val="21"/>
          <w:lang w:eastAsia="zh-CN"/>
        </w:rPr>
        <w:t>，</w:t>
      </w:r>
      <w:r>
        <w:rPr>
          <w:rFonts w:ascii="Times New Roman" w:hAnsi="Times New Roman"/>
          <w:spacing w:val="-6"/>
          <w:szCs w:val="21"/>
        </w:rPr>
        <w:t>销售其发行</w:t>
      </w:r>
      <w:r>
        <w:rPr>
          <w:rFonts w:hint="eastAsia" w:ascii="Times New Roman" w:hAnsi="Times New Roman"/>
          <w:spacing w:val="-6"/>
          <w:szCs w:val="21"/>
        </w:rPr>
        <w:t>与管理</w:t>
      </w:r>
      <w:r>
        <w:rPr>
          <w:rFonts w:ascii="Times New Roman" w:hAnsi="Times New Roman"/>
          <w:spacing w:val="-6"/>
          <w:szCs w:val="21"/>
        </w:rPr>
        <w:t>的理财产品，甲方自愿购买乙方代理销售的理财产品。为规范甲乙双方在理财产品代理销售业务中权利和义务，经甲乙双方协商一致，达成协议如下：</w:t>
      </w:r>
    </w:p>
    <w:p>
      <w:pPr>
        <w:pStyle w:val="aa528885"/>
        <w:autoSpaceDE w:val="0"/>
        <w:autoSpaceDN w:val="0"/>
        <w:adjustRightInd w:val="0"/>
        <w:snapToGrid w:val="0"/>
        <w:spacing w:line="276" w:lineRule="auto"/>
        <w:ind w:firstLine="398" w:firstLineChars="200"/>
        <w:rPr>
          <w:rFonts w:ascii="Times New Roman" w:hAnsi="Times New Roman"/>
          <w:b/>
          <w:bCs/>
          <w:spacing w:val="-6"/>
          <w:szCs w:val="21"/>
        </w:rPr>
      </w:pPr>
      <w:r>
        <w:rPr>
          <w:rFonts w:ascii="Times New Roman" w:hAnsi="Times New Roman"/>
          <w:b/>
          <w:bCs/>
          <w:spacing w:val="-6"/>
          <w:szCs w:val="21"/>
        </w:rPr>
        <w:t>一、重要提示</w:t>
      </w:r>
    </w:p>
    <w:p>
      <w:pPr>
        <w:pStyle w:val="aa528885"/>
        <w:autoSpaceDE w:val="0"/>
        <w:autoSpaceDN w:val="0"/>
        <w:adjustRightInd w:val="0"/>
        <w:snapToGrid w:val="0"/>
        <w:spacing w:line="276" w:lineRule="auto"/>
        <w:ind w:firstLine="398" w:firstLineChars="200"/>
        <w:rPr>
          <w:rFonts w:ascii="Times New Roman" w:hAnsi="Times New Roman"/>
          <w:szCs w:val="21"/>
        </w:rPr>
      </w:pPr>
      <w:r>
        <w:rPr>
          <w:rFonts w:ascii="Times New Roman" w:hAnsi="Times New Roman"/>
          <w:b/>
          <w:bCs/>
          <w:spacing w:val="-6"/>
          <w:szCs w:val="21"/>
        </w:rPr>
        <w:t>1.风险揭示：</w:t>
      </w:r>
      <w:r>
        <w:rPr>
          <w:rFonts w:ascii="Times New Roman" w:hAnsi="Times New Roman"/>
          <w:b/>
          <w:bCs/>
          <w:szCs w:val="21"/>
        </w:rPr>
        <w:t>理财非存款、产品有风险、投资须谨慎。</w:t>
      </w:r>
      <w:r>
        <w:rPr>
          <w:rFonts w:ascii="Times New Roman" w:hAnsi="Times New Roman"/>
          <w:szCs w:val="21"/>
        </w:rPr>
        <w:t>本产品可能面临信用风险、市场风险、流动性风险等风险因素，具体详见销售文件。甲方在签署本协议前，应仔细阅读并充分理解拟认购理财产品销售文件的详细条款，并充分了解投资者的全部权利与义务以及产品可能发生的风险。其中，销售文件包括《理财产品投资协议书》、《代理销售协议书》、《理财产品说明书》、《风险揭示书》、《投资者权益须知》等。</w:t>
      </w:r>
    </w:p>
    <w:p>
      <w:pPr>
        <w:pStyle w:val="aa528885"/>
        <w:autoSpaceDE w:val="0"/>
        <w:autoSpaceDN w:val="0"/>
        <w:adjustRightInd w:val="0"/>
        <w:snapToGrid w:val="0"/>
        <w:spacing w:line="276" w:lineRule="auto"/>
        <w:ind w:firstLine="396" w:firstLineChars="200"/>
        <w:rPr>
          <w:rFonts w:ascii="Times New Roman" w:hAnsi="Times New Roman"/>
          <w:spacing w:val="-6"/>
          <w:szCs w:val="21"/>
        </w:rPr>
      </w:pPr>
      <w:r>
        <w:rPr>
          <w:rFonts w:ascii="Times New Roman" w:hAnsi="Times New Roman"/>
          <w:spacing w:val="-6"/>
          <w:szCs w:val="21"/>
        </w:rPr>
        <w:t>2.</w:t>
      </w:r>
      <w:r>
        <w:rPr>
          <w:rFonts w:ascii="Times New Roman" w:hAnsi="Times New Roman"/>
          <w:b/>
          <w:bCs/>
          <w:spacing w:val="-6"/>
          <w:szCs w:val="21"/>
        </w:rPr>
        <w:t>本产品</w:t>
      </w:r>
      <w:r>
        <w:rPr>
          <w:rFonts w:hint="eastAsia" w:ascii="Times New Roman" w:hAnsi="Times New Roman"/>
          <w:b/>
          <w:bCs/>
          <w:spacing w:val="-6"/>
          <w:szCs w:val="21"/>
          <w:lang w:val="en-US" w:eastAsia="zh-CN"/>
        </w:rPr>
        <w:t>由产品发行机构(管理人)发行与管理，</w:t>
      </w:r>
      <w:r>
        <w:rPr>
          <w:rFonts w:ascii="Times New Roman" w:hAnsi="Times New Roman"/>
          <w:b/>
          <w:bCs/>
          <w:spacing w:val="-6"/>
          <w:szCs w:val="21"/>
        </w:rPr>
        <w:t>乙方</w:t>
      </w:r>
      <w:r>
        <w:rPr>
          <w:rFonts w:hint="eastAsia" w:ascii="Times New Roman" w:hAnsi="Times New Roman"/>
          <w:b/>
          <w:bCs/>
          <w:spacing w:val="-6"/>
          <w:szCs w:val="21"/>
        </w:rPr>
        <w:t>作为代销机构不承担产品的投资和兑付责任。</w:t>
      </w:r>
      <w:r>
        <w:rPr>
          <w:rFonts w:ascii="Times New Roman" w:hAnsi="Times New Roman"/>
          <w:b/>
          <w:bCs/>
          <w:spacing w:val="-6"/>
          <w:szCs w:val="21"/>
        </w:rPr>
        <w:t>对本产品的业绩不做任何保证。</w:t>
      </w:r>
      <w:r>
        <w:rPr>
          <w:rFonts w:ascii="Times New Roman" w:hAnsi="Times New Roman"/>
          <w:spacing w:val="-6"/>
          <w:szCs w:val="21"/>
        </w:rPr>
        <w:t>乙方受理的代销理财产品业务申请，以</w:t>
      </w:r>
      <w:r>
        <w:rPr>
          <w:rFonts w:hint="eastAsia" w:ascii="Times New Roman" w:hAnsi="Times New Roman"/>
          <w:spacing w:val="-6"/>
          <w:szCs w:val="21"/>
          <w:lang w:val="en-US" w:eastAsia="zh-CN"/>
        </w:rPr>
        <w:t>理财</w:t>
      </w:r>
      <w:r>
        <w:rPr>
          <w:rFonts w:ascii="Times New Roman" w:hAnsi="Times New Roman"/>
          <w:spacing w:val="-6"/>
          <w:szCs w:val="21"/>
        </w:rPr>
        <w:t>产品发行机构</w:t>
      </w:r>
      <w:r>
        <w:rPr>
          <w:rFonts w:hint="eastAsia" w:ascii="Times New Roman" w:hAnsi="Times New Roman"/>
          <w:spacing w:val="-6"/>
          <w:szCs w:val="21"/>
          <w:lang w:eastAsia="zh-CN"/>
        </w:rPr>
        <w:t>（</w:t>
      </w:r>
      <w:r>
        <w:rPr>
          <w:rFonts w:hint="eastAsia" w:ascii="Times New Roman" w:hAnsi="Times New Roman"/>
          <w:spacing w:val="-6"/>
          <w:szCs w:val="21"/>
          <w:lang w:val="en-US" w:eastAsia="zh-CN"/>
        </w:rPr>
        <w:t>管理人</w:t>
      </w:r>
      <w:r>
        <w:rPr>
          <w:rFonts w:hint="eastAsia" w:ascii="Times New Roman" w:hAnsi="Times New Roman"/>
          <w:spacing w:val="-6"/>
          <w:szCs w:val="21"/>
          <w:lang w:eastAsia="zh-CN"/>
        </w:rPr>
        <w:t>）</w:t>
      </w:r>
      <w:r>
        <w:rPr>
          <w:rFonts w:ascii="Times New Roman" w:hAnsi="Times New Roman"/>
          <w:spacing w:val="-6"/>
          <w:szCs w:val="21"/>
        </w:rPr>
        <w:t>的最终确认结果为准。</w:t>
      </w:r>
    </w:p>
    <w:p>
      <w:pPr>
        <w:pStyle w:val="aa528885"/>
        <w:autoSpaceDE w:val="0"/>
        <w:autoSpaceDN w:val="0"/>
        <w:adjustRightInd w:val="0"/>
        <w:snapToGrid w:val="0"/>
        <w:spacing w:line="276" w:lineRule="auto"/>
        <w:ind w:firstLine="398" w:firstLineChars="200"/>
        <w:rPr>
          <w:rFonts w:ascii="Times New Roman" w:hAnsi="Times New Roman"/>
          <w:b/>
          <w:bCs/>
          <w:spacing w:val="-6"/>
          <w:szCs w:val="21"/>
        </w:rPr>
      </w:pPr>
      <w:r>
        <w:rPr>
          <w:rFonts w:ascii="Times New Roman" w:hAnsi="Times New Roman"/>
          <w:b/>
          <w:bCs/>
          <w:spacing w:val="-6"/>
          <w:szCs w:val="21"/>
        </w:rPr>
        <w:t>3.甲方在购买乙方代销的理财产品前，应进行有效风险承受能力的评估。甲方投资风险承受能力评估结果的有效期为一年，若风险承受能力评估结果已超过有效期或者在评</w:t>
      </w:r>
      <w:r>
        <w:rPr>
          <w:rFonts w:hint="eastAsia" w:ascii="Times New Roman" w:hAnsi="Times New Roman"/>
          <w:b/>
          <w:bCs/>
          <w:spacing w:val="-6"/>
          <w:szCs w:val="21"/>
          <w:lang w:val="en-US" w:eastAsia="zh-CN"/>
        </w:rPr>
        <w:t>估</w:t>
      </w:r>
      <w:r>
        <w:rPr>
          <w:rFonts w:ascii="Times New Roman" w:hAnsi="Times New Roman"/>
          <w:b/>
          <w:bCs/>
          <w:spacing w:val="-6"/>
          <w:szCs w:val="21"/>
        </w:rPr>
        <w:t>结果有效期内发生了可能影响甲方自身风险承受能力的情形，应重新进行风险承受能力评估。</w:t>
      </w:r>
    </w:p>
    <w:p>
      <w:pPr>
        <w:pStyle w:val="aa528885"/>
        <w:autoSpaceDE w:val="0"/>
        <w:autoSpaceDN w:val="0"/>
        <w:adjustRightInd w:val="0"/>
        <w:snapToGrid w:val="0"/>
        <w:spacing w:line="276" w:lineRule="auto"/>
        <w:ind w:firstLine="396" w:firstLineChars="200"/>
        <w:rPr>
          <w:rFonts w:ascii="Times New Roman" w:hAnsi="Times New Roman"/>
          <w:spacing w:val="-6"/>
          <w:szCs w:val="21"/>
        </w:rPr>
      </w:pPr>
      <w:r>
        <w:rPr>
          <w:rFonts w:ascii="Times New Roman" w:hAnsi="Times New Roman"/>
          <w:spacing w:val="-6"/>
          <w:szCs w:val="21"/>
        </w:rPr>
        <w:t>4.根据理财产品投资范围、风险特征、流动性等不同因素，乙方代销的理财产品分为</w:t>
      </w:r>
      <w:r>
        <w:rPr>
          <w:rFonts w:hint="eastAsia" w:ascii="Times New Roman" w:hAnsi="Times New Roman"/>
          <w:spacing w:val="-6"/>
          <w:szCs w:val="21"/>
          <w:highlight w:val="none"/>
        </w:rPr>
        <w:t>低风险产品、偏低风险产品、中风险产品、偏高风险产品、高风险产品</w:t>
      </w:r>
      <w:r>
        <w:rPr>
          <w:rFonts w:ascii="Times New Roman" w:hAnsi="Times New Roman"/>
          <w:spacing w:val="-6"/>
          <w:szCs w:val="21"/>
          <w:highlight w:val="none"/>
        </w:rPr>
        <w:t>共五个风险等级，与个人客户在乙方评估的风险承受能力等级【</w:t>
      </w:r>
      <w:r>
        <w:rPr>
          <w:rFonts w:hint="eastAsia" w:ascii="Times New Roman" w:hAnsi="Times New Roman"/>
          <w:spacing w:val="-6"/>
          <w:szCs w:val="21"/>
          <w:highlight w:val="none"/>
        </w:rPr>
        <w:t>保守型、稳健型、平衡型、成长型、进取型</w:t>
      </w:r>
      <w:r>
        <w:rPr>
          <w:rFonts w:ascii="Times New Roman" w:hAnsi="Times New Roman"/>
          <w:spacing w:val="-6"/>
          <w:szCs w:val="21"/>
          <w:highlight w:val="none"/>
        </w:rPr>
        <w:t>】共五个等级一一对应。</w:t>
      </w:r>
      <w:r>
        <w:rPr>
          <w:rFonts w:ascii="Times New Roman" w:hAnsi="Times New Roman"/>
          <w:b/>
          <w:bCs/>
          <w:spacing w:val="-6"/>
          <w:szCs w:val="21"/>
          <w:highlight w:val="none"/>
        </w:rPr>
        <w:t>甲方应根据风险承受能力评估结果选择与自身风险承受能力相匹配的理财产品，不得购买高于自身风险承受能力的理财产品。</w:t>
      </w:r>
      <w:r>
        <w:rPr>
          <w:rFonts w:hint="eastAsia" w:ascii="Times New Roman" w:hAnsi="Times New Roman"/>
          <w:b/>
          <w:bCs/>
          <w:spacing w:val="-6"/>
          <w:szCs w:val="21"/>
          <w:highlight w:val="none"/>
          <w:lang w:val="en-US" w:eastAsia="zh-CN"/>
        </w:rPr>
        <w:t>如甲方</w:t>
      </w:r>
      <w:r>
        <w:rPr>
          <w:rFonts w:hint="eastAsia" w:ascii="Times New Roman" w:hAnsi="Times New Roman"/>
          <w:b/>
          <w:bCs/>
          <w:spacing w:val="-6"/>
          <w:szCs w:val="21"/>
          <w:highlight w:val="none"/>
        </w:rPr>
        <w:t>购买理财产品</w:t>
      </w:r>
      <w:r>
        <w:rPr>
          <w:rFonts w:hint="eastAsia" w:ascii="Times New Roman" w:hAnsi="Times New Roman"/>
          <w:b/>
          <w:bCs/>
          <w:spacing w:val="-6"/>
          <w:szCs w:val="21"/>
          <w:highlight w:val="none"/>
          <w:lang w:val="en-US" w:eastAsia="zh-CN"/>
        </w:rPr>
        <w:t>的</w:t>
      </w:r>
      <w:r>
        <w:rPr>
          <w:rFonts w:hint="eastAsia" w:ascii="Times New Roman" w:hAnsi="Times New Roman"/>
          <w:b/>
          <w:bCs/>
          <w:spacing w:val="-6"/>
          <w:szCs w:val="21"/>
          <w:highlight w:val="none"/>
        </w:rPr>
        <w:t>风险等</w:t>
      </w:r>
      <w:r>
        <w:rPr>
          <w:rFonts w:hint="eastAsia" w:ascii="Times New Roman" w:hAnsi="Times New Roman" w:eastAsia="宋体" w:cs="Times New Roman"/>
          <w:b/>
          <w:bCs/>
          <w:spacing w:val="-6"/>
          <w:szCs w:val="21"/>
          <w:highlight w:val="none"/>
        </w:rPr>
        <w:t>级</w:t>
      </w:r>
      <w:r>
        <w:rPr>
          <w:rFonts w:hint="eastAsia" w:ascii="Times New Roman" w:hAnsi="Times New Roman" w:cs="Times New Roman"/>
          <w:b/>
          <w:bCs/>
          <w:spacing w:val="-6"/>
          <w:szCs w:val="21"/>
          <w:highlight w:val="none"/>
          <w:lang w:val="en-US" w:eastAsia="zh-CN"/>
        </w:rPr>
        <w:t>为</w:t>
      </w:r>
      <w:r>
        <w:rPr>
          <w:rFonts w:hint="eastAsia" w:ascii="Times New Roman" w:hAnsi="Times New Roman" w:eastAsia="宋体" w:cs="Times New Roman"/>
          <w:b/>
          <w:bCs/>
          <w:spacing w:val="-6"/>
          <w:szCs w:val="21"/>
          <w:highlight w:val="none"/>
        </w:rPr>
        <w:t>偏高风险及</w:t>
      </w:r>
      <w:r>
        <w:rPr>
          <w:rFonts w:hint="eastAsia" w:ascii="Times New Roman" w:hAnsi="Times New Roman"/>
          <w:b/>
          <w:bCs/>
          <w:spacing w:val="-6"/>
          <w:szCs w:val="21"/>
        </w:rPr>
        <w:t>以上的，除非与乙方</w:t>
      </w:r>
      <w:r>
        <w:rPr>
          <w:rFonts w:hint="eastAsia" w:ascii="Times New Roman" w:hAnsi="Times New Roman"/>
          <w:b/>
          <w:bCs/>
          <w:spacing w:val="-6"/>
          <w:szCs w:val="21"/>
          <w:lang w:val="en-US" w:eastAsia="zh-CN"/>
        </w:rPr>
        <w:t>当面</w:t>
      </w:r>
      <w:r>
        <w:rPr>
          <w:rFonts w:hint="eastAsia" w:ascii="Times New Roman" w:hAnsi="Times New Roman"/>
          <w:b/>
          <w:bCs/>
          <w:spacing w:val="-6"/>
          <w:szCs w:val="21"/>
        </w:rPr>
        <w:t>书面约定，应当在乙方营业网点进行。</w:t>
      </w:r>
    </w:p>
    <w:p>
      <w:pPr>
        <w:pStyle w:val="aa528885"/>
        <w:autoSpaceDE w:val="0"/>
        <w:autoSpaceDN w:val="0"/>
        <w:adjustRightInd w:val="0"/>
        <w:snapToGrid w:val="0"/>
        <w:spacing w:line="276" w:lineRule="auto"/>
        <w:ind w:firstLine="422" w:firstLineChars="200"/>
        <w:rPr>
          <w:rFonts w:ascii="Times New Roman" w:hAnsi="Times New Roman"/>
          <w:b/>
          <w:bCs/>
          <w:szCs w:val="21"/>
        </w:rPr>
      </w:pPr>
      <w:r>
        <w:rPr>
          <w:rFonts w:ascii="Times New Roman" w:hAnsi="Times New Roman"/>
          <w:b/>
          <w:bCs/>
          <w:szCs w:val="21"/>
        </w:rPr>
        <w:t>二、甲方声明与承诺</w:t>
      </w:r>
    </w:p>
    <w:p>
      <w:pPr>
        <w:pStyle w:val="aa528885"/>
        <w:autoSpaceDE w:val="0"/>
        <w:autoSpaceDN w:val="0"/>
        <w:adjustRightInd w:val="0"/>
        <w:snapToGrid w:val="0"/>
        <w:spacing w:line="276" w:lineRule="auto"/>
        <w:ind w:firstLine="422" w:firstLineChars="200"/>
        <w:rPr>
          <w:rFonts w:ascii="Times New Roman" w:hAnsi="Times New Roman"/>
          <w:szCs w:val="21"/>
        </w:rPr>
      </w:pPr>
      <w:r>
        <w:rPr>
          <w:rFonts w:ascii="Times New Roman" w:hAnsi="Times New Roman"/>
          <w:b/>
          <w:bCs/>
          <w:szCs w:val="21"/>
        </w:rPr>
        <w:t>1.甲方承诺其购买理财产品的资金为合法自有资金，不存在使用贷款、发行债券</w:t>
      </w:r>
      <w:r>
        <w:rPr>
          <w:rFonts w:hint="eastAsia" w:ascii="Times New Roman" w:hAnsi="Times New Roman"/>
          <w:b/>
          <w:bCs/>
          <w:szCs w:val="21"/>
        </w:rPr>
        <w:t>等</w:t>
      </w:r>
      <w:r>
        <w:rPr>
          <w:rFonts w:ascii="Times New Roman" w:hAnsi="Times New Roman"/>
          <w:b/>
          <w:bCs/>
          <w:szCs w:val="21"/>
        </w:rPr>
        <w:t>筹集</w:t>
      </w:r>
      <w:r>
        <w:rPr>
          <w:rFonts w:hint="eastAsia" w:ascii="Times New Roman" w:hAnsi="Times New Roman"/>
          <w:b/>
          <w:bCs/>
          <w:szCs w:val="21"/>
        </w:rPr>
        <w:t>的非自有资金</w:t>
      </w:r>
      <w:r>
        <w:rPr>
          <w:rFonts w:ascii="Times New Roman" w:hAnsi="Times New Roman"/>
          <w:b/>
          <w:bCs/>
          <w:szCs w:val="21"/>
        </w:rPr>
        <w:t>投资理财产品的情形。甲方承诺投资理财产品使用的资金来源合法合规，并且系为合法之目的投资本理财产品，而非为洗钱等违法犯罪之目的</w:t>
      </w:r>
      <w:r>
        <w:rPr>
          <w:rFonts w:ascii="Times New Roman" w:hAnsi="Times New Roman"/>
          <w:szCs w:val="21"/>
        </w:rPr>
        <w:t>，甲方将配合乙方开展投资者身份识别及尽职调查等反洗钱、反恐怖融资活动及非居民金融账户涉税信息尽职调查，及时、真实、准确、完整提供身份信息及资金来源等信息。</w:t>
      </w:r>
    </w:p>
    <w:p>
      <w:pPr>
        <w:pStyle w:val="aa528885"/>
        <w:autoSpaceDE w:val="0"/>
        <w:autoSpaceDN w:val="0"/>
        <w:adjustRightInd w:val="0"/>
        <w:snapToGrid w:val="0"/>
        <w:spacing w:line="276" w:lineRule="auto"/>
        <w:ind w:firstLine="422" w:firstLineChars="200"/>
        <w:rPr>
          <w:rFonts w:ascii="Times New Roman" w:hAnsi="Times New Roman"/>
          <w:szCs w:val="21"/>
        </w:rPr>
      </w:pPr>
      <w:r>
        <w:rPr>
          <w:rFonts w:ascii="Times New Roman" w:hAnsi="Times New Roman"/>
          <w:b/>
          <w:bCs/>
          <w:szCs w:val="21"/>
        </w:rPr>
        <w:t>2.甲方承诺所提供的所有资料真实、准确、完整、合法、有效，如有变更，</w:t>
      </w:r>
      <w:r>
        <w:rPr>
          <w:rFonts w:ascii="Times New Roman" w:hAnsi="Times New Roman"/>
          <w:b/>
          <w:bCs/>
          <w:szCs w:val="21"/>
          <w:highlight w:val="none"/>
        </w:rPr>
        <w:t>甲方应及时通过乙方营业网点或电子渠道办理变更手续</w:t>
      </w:r>
      <w:r>
        <w:rPr>
          <w:rFonts w:hint="eastAsia" w:ascii="Times New Roman" w:hAnsi="Times New Roman"/>
          <w:b/>
          <w:bCs/>
          <w:szCs w:val="21"/>
          <w:highlight w:val="none"/>
          <w:lang w:eastAsia="zh-CN"/>
        </w:rPr>
        <w:t>。</w:t>
      </w:r>
      <w:r>
        <w:rPr>
          <w:rFonts w:ascii="Times New Roman" w:hAnsi="Times New Roman"/>
          <w:szCs w:val="21"/>
        </w:rPr>
        <w:t>若甲方未及时办理相关变更手续，由此导致的后果由甲方自行承担，乙方对此不承担责任。</w:t>
      </w:r>
    </w:p>
    <w:p>
      <w:pPr>
        <w:pStyle w:val="aa528885"/>
        <w:autoSpaceDE w:val="0"/>
        <w:autoSpaceDN w:val="0"/>
        <w:adjustRightInd w:val="0"/>
        <w:snapToGrid w:val="0"/>
        <w:spacing w:line="276" w:lineRule="auto"/>
        <w:ind w:firstLine="422" w:firstLineChars="200"/>
        <w:rPr>
          <w:rFonts w:ascii="Times New Roman" w:hAnsi="Times New Roman"/>
          <w:b/>
          <w:bCs/>
          <w:szCs w:val="21"/>
        </w:rPr>
      </w:pPr>
      <w:r>
        <w:rPr>
          <w:rFonts w:ascii="Times New Roman" w:hAnsi="Times New Roman"/>
          <w:b/>
          <w:bCs/>
          <w:szCs w:val="21"/>
        </w:rPr>
        <w:t>3.甲方已经认真阅读销售文件，清楚知晓其具体内容，对有关条款不存在疑问或异议，并能充分理解所购买产品的风险，明白在发生最不利情况下（可能但并不一定发生），甲方可能无法取得产品投资收益，并可能面临损失本金的风险。甲方独立作出投资决定，并亲自对销售文件进行签署确认，自主承担投资风险。</w:t>
      </w:r>
    </w:p>
    <w:p>
      <w:pPr>
        <w:pStyle w:val="aa528885"/>
        <w:autoSpaceDE w:val="0"/>
        <w:autoSpaceDN w:val="0"/>
        <w:adjustRightInd w:val="0"/>
        <w:snapToGrid w:val="0"/>
        <w:spacing w:line="276" w:lineRule="auto"/>
        <w:ind w:firstLine="420" w:firstLineChars="200"/>
        <w:rPr>
          <w:rFonts w:ascii="Times New Roman" w:hAnsi="Times New Roman"/>
          <w:szCs w:val="21"/>
        </w:rPr>
      </w:pPr>
      <w:r>
        <w:rPr>
          <w:rFonts w:ascii="Times New Roman" w:hAnsi="Times New Roman"/>
          <w:szCs w:val="21"/>
        </w:rPr>
        <w:t>4.甲方已在乙方营业网点</w:t>
      </w:r>
      <w:r>
        <w:rPr>
          <w:rFonts w:ascii="Times New Roman" w:hAnsi="Times New Roman"/>
          <w:b/>
          <w:bCs/>
          <w:szCs w:val="21"/>
        </w:rPr>
        <w:t>或电子渠道（包括</w:t>
      </w:r>
      <w:r>
        <w:rPr>
          <w:rFonts w:ascii="Times New Roman" w:hAnsi="Times New Roman"/>
          <w:szCs w:val="21"/>
        </w:rPr>
        <w:t>网上银行、手机银行</w:t>
      </w:r>
      <w:r>
        <w:rPr>
          <w:rFonts w:hint="eastAsia" w:ascii="Times New Roman" w:hAnsi="Times New Roman"/>
          <w:szCs w:val="21"/>
          <w:lang w:val="en-US" w:eastAsia="zh-CN"/>
        </w:rPr>
        <w:t>、</w:t>
      </w:r>
      <w:r>
        <w:rPr>
          <w:rFonts w:ascii="Times New Roman" w:hAnsi="Times New Roman"/>
          <w:szCs w:val="21"/>
        </w:rPr>
        <w:t>智能终端等</w:t>
      </w:r>
      <w:r>
        <w:rPr>
          <w:rFonts w:hint="eastAsia" w:ascii="Times New Roman" w:hAnsi="Times New Roman"/>
          <w:szCs w:val="21"/>
          <w:lang w:eastAsia="zh-CN"/>
        </w:rPr>
        <w:t>）</w:t>
      </w:r>
      <w:r>
        <w:rPr>
          <w:rFonts w:ascii="Times New Roman" w:hAnsi="Times New Roman"/>
          <w:szCs w:val="21"/>
        </w:rPr>
        <w:t>完成投资风险承受能力评估，并对投资风险承受能力评估结果完全认可。</w:t>
      </w:r>
      <w:r>
        <w:rPr>
          <w:rFonts w:ascii="Times New Roman" w:hAnsi="Times New Roman"/>
          <w:b/>
          <w:bCs/>
          <w:szCs w:val="21"/>
        </w:rPr>
        <w:t>甲方承诺所购买理财产品对应的风险等级</w:t>
      </w:r>
      <w:r>
        <w:rPr>
          <w:rFonts w:hint="eastAsia" w:ascii="Times New Roman" w:hAnsi="Times New Roman"/>
          <w:b/>
          <w:bCs/>
          <w:szCs w:val="21"/>
          <w:lang w:eastAsia="zh-CN"/>
        </w:rPr>
        <w:t>与</w:t>
      </w:r>
      <w:r>
        <w:rPr>
          <w:rFonts w:ascii="Times New Roman" w:hAnsi="Times New Roman"/>
          <w:b/>
          <w:bCs/>
          <w:szCs w:val="21"/>
        </w:rPr>
        <w:t>自身风险承受能力</w:t>
      </w:r>
      <w:r>
        <w:rPr>
          <w:rFonts w:hint="eastAsia" w:ascii="Times New Roman" w:hAnsi="Times New Roman"/>
          <w:b/>
          <w:bCs/>
          <w:szCs w:val="21"/>
          <w:lang w:val="en-US" w:eastAsia="zh-CN"/>
        </w:rPr>
        <w:t>相匹配</w:t>
      </w:r>
      <w:r>
        <w:rPr>
          <w:rFonts w:ascii="Times New Roman" w:hAnsi="Times New Roman"/>
          <w:b/>
          <w:bCs/>
          <w:szCs w:val="21"/>
        </w:rPr>
        <w:t>。</w:t>
      </w:r>
    </w:p>
    <w:p>
      <w:pPr>
        <w:pStyle w:val="aa528885"/>
        <w:autoSpaceDE w:val="0"/>
        <w:autoSpaceDN w:val="0"/>
        <w:adjustRightInd w:val="0"/>
        <w:snapToGrid w:val="0"/>
        <w:spacing w:line="276" w:lineRule="auto"/>
        <w:ind w:firstLine="422" w:firstLineChars="200"/>
        <w:rPr>
          <w:rFonts w:ascii="Times New Roman" w:hAnsi="Times New Roman"/>
          <w:b/>
          <w:bCs/>
          <w:szCs w:val="21"/>
        </w:rPr>
      </w:pPr>
      <w:r>
        <w:rPr>
          <w:rFonts w:ascii="Times New Roman" w:hAnsi="Times New Roman"/>
          <w:b/>
          <w:bCs/>
          <w:szCs w:val="21"/>
        </w:rPr>
        <w:t>5.</w:t>
      </w:r>
      <w:r>
        <w:rPr>
          <w:rFonts w:hint="eastAsia" w:ascii="Times New Roman" w:hAnsi="Times New Roman"/>
          <w:b/>
          <w:bCs/>
          <w:szCs w:val="21"/>
          <w:lang w:val="en-US" w:eastAsia="zh-CN"/>
        </w:rPr>
        <w:t>甲方发起的认购、</w:t>
      </w:r>
      <w:r>
        <w:rPr>
          <w:rFonts w:hint="eastAsia" w:ascii="Times New Roman" w:hAnsi="Times New Roman"/>
          <w:b/>
          <w:bCs/>
          <w:szCs w:val="21"/>
        </w:rPr>
        <w:t>申购、赎回申请可以在对应</w:t>
      </w:r>
      <w:r>
        <w:rPr>
          <w:rFonts w:hint="eastAsia" w:ascii="Times New Roman" w:hAnsi="Times New Roman"/>
          <w:b/>
          <w:bCs/>
          <w:szCs w:val="21"/>
          <w:lang w:val="en-US" w:eastAsia="zh-CN"/>
        </w:rPr>
        <w:t>认购期、</w:t>
      </w:r>
      <w:r>
        <w:rPr>
          <w:rFonts w:hint="eastAsia" w:ascii="Times New Roman" w:hAnsi="Times New Roman"/>
          <w:b/>
          <w:bCs/>
          <w:szCs w:val="21"/>
        </w:rPr>
        <w:t>申购日、赎回日交易时间截止前撤销</w:t>
      </w:r>
      <w:r>
        <w:rPr>
          <w:rFonts w:hint="eastAsia" w:ascii="Times New Roman" w:hAnsi="Times New Roman"/>
          <w:b/>
          <w:bCs/>
          <w:szCs w:val="21"/>
          <w:lang w:eastAsia="zh-CN"/>
        </w:rPr>
        <w:t>，</w:t>
      </w:r>
      <w:r>
        <w:rPr>
          <w:rFonts w:hint="eastAsia" w:ascii="Times New Roman" w:hAnsi="Times New Roman"/>
          <w:b/>
          <w:bCs/>
          <w:szCs w:val="21"/>
          <w:lang w:val="en-US" w:eastAsia="zh-CN"/>
        </w:rPr>
        <w:t>超过截止时间则无法撤销对应交易。</w:t>
      </w:r>
      <w:r>
        <w:rPr>
          <w:rFonts w:ascii="Times New Roman" w:hAnsi="Times New Roman"/>
          <w:b/>
          <w:bCs/>
          <w:szCs w:val="21"/>
        </w:rPr>
        <w:t>甲方签署本协议，即同意授权乙方自甲方理财产品指定账户冻结等额于甲方在本协议项下提交认购或申购的交易金额的资金（冻结期间乙方按甲方理财</w:t>
      </w:r>
      <w:r>
        <w:rPr>
          <w:rFonts w:hint="eastAsia" w:ascii="Times New Roman" w:hAnsi="Times New Roman"/>
          <w:b/>
          <w:bCs/>
          <w:szCs w:val="21"/>
          <w:lang w:val="en-US" w:eastAsia="zh-CN"/>
        </w:rPr>
        <w:t>产品</w:t>
      </w:r>
      <w:r>
        <w:rPr>
          <w:rFonts w:ascii="Times New Roman" w:hAnsi="Times New Roman"/>
          <w:b/>
          <w:bCs/>
          <w:szCs w:val="21"/>
        </w:rPr>
        <w:t>指定账户活期存款的利息结算规则计付利息），并于</w:t>
      </w:r>
      <w:r>
        <w:rPr>
          <w:rFonts w:hint="eastAsia" w:ascii="Times New Roman" w:hAnsi="Times New Roman"/>
          <w:b/>
          <w:bCs/>
          <w:szCs w:val="21"/>
          <w:lang w:val="en-US" w:eastAsia="zh-CN"/>
        </w:rPr>
        <w:t>交易确认前</w:t>
      </w:r>
      <w:r>
        <w:rPr>
          <w:rFonts w:ascii="Times New Roman" w:hAnsi="Times New Roman"/>
          <w:b/>
          <w:bCs/>
          <w:szCs w:val="21"/>
        </w:rPr>
        <w:t>扣划至</w:t>
      </w:r>
      <w:r>
        <w:rPr>
          <w:rFonts w:hint="eastAsia" w:ascii="Times New Roman" w:hAnsi="Times New Roman"/>
          <w:b/>
          <w:bCs/>
          <w:szCs w:val="21"/>
          <w:lang w:val="en-US" w:eastAsia="zh-CN"/>
        </w:rPr>
        <w:t>理财</w:t>
      </w:r>
      <w:r>
        <w:rPr>
          <w:rFonts w:ascii="Times New Roman" w:hAnsi="Times New Roman"/>
          <w:b/>
          <w:bCs/>
          <w:szCs w:val="21"/>
        </w:rPr>
        <w:t>产品发行</w:t>
      </w:r>
      <w:r>
        <w:rPr>
          <w:rFonts w:hint="eastAsia" w:ascii="Times New Roman" w:hAnsi="Times New Roman"/>
          <w:b/>
          <w:bCs/>
          <w:szCs w:val="21"/>
        </w:rPr>
        <w:t>与管理</w:t>
      </w:r>
      <w:r>
        <w:rPr>
          <w:rFonts w:ascii="Times New Roman" w:hAnsi="Times New Roman"/>
          <w:b/>
          <w:bCs/>
          <w:szCs w:val="21"/>
        </w:rPr>
        <w:t>机构指定账户，乙方在划款时均无须再通知甲方。</w:t>
      </w:r>
    </w:p>
    <w:p>
      <w:pPr>
        <w:pStyle w:val="aa528885"/>
        <w:autoSpaceDE w:val="0"/>
        <w:autoSpaceDN w:val="0"/>
        <w:adjustRightInd w:val="0"/>
        <w:snapToGrid w:val="0"/>
        <w:spacing w:line="276" w:lineRule="auto"/>
        <w:ind w:firstLine="420" w:firstLineChars="200"/>
        <w:rPr>
          <w:rFonts w:ascii="Times New Roman" w:hAnsi="Times New Roman"/>
          <w:szCs w:val="21"/>
        </w:rPr>
      </w:pPr>
      <w:r>
        <w:rPr>
          <w:rFonts w:ascii="Times New Roman" w:hAnsi="Times New Roman"/>
          <w:szCs w:val="21"/>
        </w:rPr>
        <w:t>6.在产品募集期（或开放期）内，如因甲方的原因导致投资本金不能从其</w:t>
      </w:r>
      <w:r>
        <w:rPr>
          <w:rFonts w:hint="eastAsia" w:ascii="Times New Roman" w:hAnsi="Times New Roman"/>
          <w:szCs w:val="21"/>
          <w:lang w:val="en-US" w:eastAsia="zh-CN"/>
        </w:rPr>
        <w:t>理财产品指定</w:t>
      </w:r>
      <w:r>
        <w:rPr>
          <w:rFonts w:ascii="Times New Roman" w:hAnsi="Times New Roman"/>
          <w:szCs w:val="21"/>
        </w:rPr>
        <w:t>账户足额划转的，</w:t>
      </w:r>
      <w:r>
        <w:rPr>
          <w:rFonts w:hint="eastAsia" w:ascii="Times New Roman" w:hAnsi="Times New Roman"/>
          <w:szCs w:val="21"/>
          <w:lang w:val="en-US" w:eastAsia="zh-CN"/>
        </w:rPr>
        <w:t>则</w:t>
      </w:r>
      <w:r>
        <w:rPr>
          <w:rFonts w:ascii="Times New Roman" w:hAnsi="Times New Roman"/>
          <w:szCs w:val="21"/>
        </w:rPr>
        <w:t>甲方对相关理财产品的购买不成功，该理财产品</w:t>
      </w:r>
      <w:r>
        <w:rPr>
          <w:rFonts w:hint="eastAsia" w:ascii="Times New Roman" w:hAnsi="Times New Roman"/>
          <w:szCs w:val="21"/>
          <w:lang w:val="en-US" w:eastAsia="zh-CN"/>
        </w:rPr>
        <w:t>销售文件及</w:t>
      </w:r>
      <w:r>
        <w:rPr>
          <w:rFonts w:ascii="Times New Roman" w:hAnsi="Times New Roman"/>
          <w:szCs w:val="21"/>
        </w:rPr>
        <w:t>相关协议不生效</w:t>
      </w:r>
      <w:r>
        <w:rPr>
          <w:rFonts w:hint="eastAsia" w:ascii="Times New Roman" w:hAnsi="Times New Roman"/>
          <w:szCs w:val="21"/>
          <w:lang w:val="en-US" w:eastAsia="zh-CN"/>
        </w:rPr>
        <w:t>等后果由甲方自行承担</w:t>
      </w:r>
      <w:r>
        <w:rPr>
          <w:rFonts w:ascii="Times New Roman" w:hAnsi="Times New Roman"/>
          <w:szCs w:val="21"/>
        </w:rPr>
        <w:t>，乙方对此不承担责任。</w:t>
      </w:r>
    </w:p>
    <w:p>
      <w:pPr>
        <w:pStyle w:val="aa528885"/>
        <w:autoSpaceDE w:val="0"/>
        <w:autoSpaceDN w:val="0"/>
        <w:adjustRightInd w:val="0"/>
        <w:snapToGrid w:val="0"/>
        <w:spacing w:line="276" w:lineRule="auto"/>
        <w:ind w:firstLine="422" w:firstLineChars="200"/>
        <w:rPr>
          <w:rFonts w:ascii="Times New Roman" w:hAnsi="Times New Roman"/>
          <w:b/>
          <w:bCs/>
          <w:szCs w:val="21"/>
        </w:rPr>
      </w:pPr>
      <w:r>
        <w:rPr>
          <w:rFonts w:ascii="Times New Roman" w:hAnsi="Times New Roman"/>
          <w:b/>
          <w:bCs/>
          <w:szCs w:val="21"/>
        </w:rPr>
        <w:t>7.对于甲方通过乙方营业网点或电子渠道（包括网上银行、手机银行</w:t>
      </w:r>
      <w:r>
        <w:rPr>
          <w:rFonts w:hint="eastAsia" w:ascii="Times New Roman" w:hAnsi="Times New Roman"/>
          <w:b/>
          <w:bCs/>
          <w:szCs w:val="21"/>
          <w:lang w:eastAsia="zh-CN"/>
        </w:rPr>
        <w:t>、智能终端</w:t>
      </w:r>
      <w:r>
        <w:rPr>
          <w:rFonts w:ascii="Times New Roman" w:hAnsi="Times New Roman"/>
          <w:b/>
          <w:bCs/>
          <w:szCs w:val="21"/>
        </w:rPr>
        <w:t>等）购买的理财产品，甲方确认理财产品销售文件均由本人签字签署或亲自在系统中点击确认，并对其真实性和有效性负责，甲方系统点击确认与纸质签署具有同等法律效力。甲方同意乙方可对其办理本合同项下理财业务的操作过程进行录音、录像或以其他合法方式进行记录，且在双方发生争议时可以作为合法有效的证据使用。</w:t>
      </w:r>
    </w:p>
    <w:p>
      <w:pPr>
        <w:pStyle w:val="aa528885"/>
        <w:autoSpaceDE w:val="0"/>
        <w:autoSpaceDN w:val="0"/>
        <w:adjustRightInd w:val="0"/>
        <w:snapToGrid w:val="0"/>
        <w:spacing w:line="276" w:lineRule="auto"/>
        <w:ind w:firstLine="420" w:firstLineChars="200"/>
        <w:rPr>
          <w:rFonts w:ascii="Times New Roman" w:hAnsi="Times New Roman"/>
          <w:szCs w:val="21"/>
        </w:rPr>
      </w:pPr>
      <w:r>
        <w:rPr>
          <w:rFonts w:ascii="Times New Roman" w:hAnsi="Times New Roman"/>
          <w:szCs w:val="21"/>
        </w:rPr>
        <w:t>8.甲方承诺在产品存续期内，除非</w:t>
      </w:r>
      <w:r>
        <w:rPr>
          <w:rFonts w:hint="eastAsia" w:ascii="Times New Roman" w:hAnsi="Times New Roman"/>
          <w:szCs w:val="21"/>
          <w:lang w:val="en-US" w:eastAsia="zh-CN"/>
        </w:rPr>
        <w:t>理财</w:t>
      </w:r>
      <w:r>
        <w:rPr>
          <w:rFonts w:ascii="Times New Roman" w:hAnsi="Times New Roman"/>
          <w:szCs w:val="21"/>
        </w:rPr>
        <w:t>产品发行</w:t>
      </w:r>
      <w:r>
        <w:rPr>
          <w:rFonts w:hint="eastAsia" w:ascii="Times New Roman" w:hAnsi="Times New Roman"/>
          <w:szCs w:val="21"/>
        </w:rPr>
        <w:t>与管理</w:t>
      </w:r>
      <w:r>
        <w:rPr>
          <w:rFonts w:ascii="Times New Roman" w:hAnsi="Times New Roman"/>
          <w:szCs w:val="21"/>
        </w:rPr>
        <w:t>机构按照《理财产品说明书》约定行权终止理财产品，否则</w:t>
      </w:r>
      <w:r>
        <w:rPr>
          <w:rFonts w:ascii="Times New Roman" w:hAnsi="Times New Roman"/>
          <w:b/>
          <w:bCs/>
          <w:szCs w:val="21"/>
        </w:rPr>
        <w:t>不得要求乙方在产品非开放日前退还已扣划款项或以任何形式清算其持有的理财产品份额，且不得将指定账户销户</w:t>
      </w:r>
      <w:r>
        <w:rPr>
          <w:rFonts w:ascii="Times New Roman" w:hAnsi="Times New Roman"/>
          <w:szCs w:val="21"/>
        </w:rPr>
        <w:t>。</w:t>
      </w:r>
    </w:p>
    <w:p>
      <w:pPr>
        <w:pStyle w:val="aa528885"/>
        <w:autoSpaceDE w:val="0"/>
        <w:autoSpaceDN w:val="0"/>
        <w:adjustRightInd w:val="0"/>
        <w:snapToGrid w:val="0"/>
        <w:spacing w:line="276" w:lineRule="auto"/>
        <w:ind w:firstLine="420" w:firstLineChars="200"/>
        <w:rPr>
          <w:rFonts w:ascii="Times New Roman" w:hAnsi="Times New Roman"/>
        </w:rPr>
      </w:pPr>
      <w:r>
        <w:rPr>
          <w:rFonts w:ascii="Times New Roman" w:hAnsi="Times New Roman"/>
        </w:rPr>
        <w:t>9.甲方对本协议及其条款负有保密义务，未经乙方书面许可，甲方不得向任何组织、个人提供或泄露与乙方有关的业务资料及信息，但法律法规</w:t>
      </w:r>
      <w:r>
        <w:rPr>
          <w:rFonts w:hint="eastAsia" w:ascii="Times New Roman" w:hAnsi="Times New Roman"/>
          <w:lang w:val="en-US" w:eastAsia="zh-CN"/>
        </w:rPr>
        <w:t>或监管规定或双方书面协议</w:t>
      </w:r>
      <w:r>
        <w:rPr>
          <w:rFonts w:ascii="Times New Roman" w:hAnsi="Times New Roman"/>
        </w:rPr>
        <w:t>另有规定的除外。</w:t>
      </w:r>
    </w:p>
    <w:p>
      <w:pPr>
        <w:pStyle w:val="aa528885"/>
        <w:autoSpaceDE w:val="0"/>
        <w:autoSpaceDN w:val="0"/>
        <w:adjustRightInd w:val="0"/>
        <w:snapToGrid w:val="0"/>
        <w:spacing w:line="276" w:lineRule="auto"/>
        <w:ind w:firstLine="420" w:firstLineChars="200"/>
        <w:rPr>
          <w:rFonts w:ascii="Times New Roman" w:hAnsi="Times New Roman"/>
        </w:rPr>
      </w:pPr>
      <w:r>
        <w:rPr>
          <w:rFonts w:ascii="Times New Roman" w:hAnsi="Times New Roman"/>
          <w:b w:val="0"/>
          <w:bCs w:val="0"/>
        </w:rPr>
        <w:t>10.甲方承诺严格遵守反洗钱相关法律法规和监管规定，不会参与或协助洗钱、恐怖融资、逃税活动等违法行为</w:t>
      </w:r>
      <w:r>
        <w:rPr>
          <w:rFonts w:ascii="Times New Roman" w:hAnsi="Times New Roman"/>
          <w:b/>
          <w:bCs/>
        </w:rPr>
        <w:t>。乙方若发现或有合理理由怀疑甲方、甲方的资金或甲方的交易行为与洗钱、恐怖融资、逃税等犯罪活动相关的，乙方有权提前终止本协议，造成甲方损失的，乙方不承担责任</w:t>
      </w:r>
      <w:r>
        <w:rPr>
          <w:rFonts w:ascii="Times New Roman" w:hAnsi="Times New Roman"/>
        </w:rPr>
        <w:t>。</w:t>
      </w:r>
    </w:p>
    <w:p>
      <w:pPr>
        <w:pStyle w:val="aa528885"/>
        <w:tabs>
          <w:tab w:val="left" w:pos="360"/>
        </w:tabs>
        <w:autoSpaceDE w:val="0"/>
        <w:autoSpaceDN w:val="0"/>
        <w:adjustRightInd w:val="0"/>
        <w:snapToGrid w:val="0"/>
        <w:spacing w:line="276" w:lineRule="auto"/>
        <w:ind w:firstLine="420" w:firstLineChars="200"/>
        <w:rPr>
          <w:rFonts w:ascii="Times New Roman" w:hAnsi="Times New Roman"/>
          <w:b/>
          <w:bCs/>
          <w:szCs w:val="21"/>
        </w:rPr>
      </w:pPr>
      <w:r>
        <w:rPr>
          <w:rFonts w:ascii="Times New Roman" w:hAnsi="Times New Roman"/>
          <w:szCs w:val="21"/>
        </w:rPr>
        <w:t>三、根据相关法律、法规规定及监管部门要求，乙方在向甲方销售理财产品时，会对产品销售过程以及销售记录进行客观审慎的记录。其中，</w:t>
      </w:r>
      <w:r>
        <w:rPr>
          <w:rFonts w:ascii="Times New Roman" w:hAnsi="Times New Roman"/>
          <w:b/>
          <w:bCs/>
          <w:szCs w:val="21"/>
        </w:rPr>
        <w:t>甲方授权乙方对营业网点销售行为进行录音、录像采集，并完整客观记录电子渠道上营销推介、产品风险和关键信息提示、确认和反馈等重点销售环节，以用于回溯检查和核查取证用途。</w:t>
      </w:r>
    </w:p>
    <w:p>
      <w:pPr>
        <w:pStyle w:val="aa528885"/>
        <w:tabs>
          <w:tab w:val="left" w:pos="360"/>
        </w:tabs>
        <w:autoSpaceDE w:val="0"/>
        <w:autoSpaceDN w:val="0"/>
        <w:adjustRightInd w:val="0"/>
        <w:snapToGrid w:val="0"/>
        <w:spacing w:line="276" w:lineRule="auto"/>
        <w:ind w:firstLine="420" w:firstLineChars="200"/>
        <w:rPr>
          <w:rFonts w:ascii="Times New Roman" w:hAnsi="Times New Roman"/>
          <w:szCs w:val="21"/>
        </w:rPr>
      </w:pPr>
      <w:r>
        <w:rPr>
          <w:rFonts w:ascii="Times New Roman" w:hAnsi="Times New Roman"/>
          <w:szCs w:val="21"/>
        </w:rPr>
        <w:t>四、乙方对理财产品销售过程中获知的投资者金融信息承担保密义务，未经甲方书面许可，乙方不得向任何组织、个人提供或泄露与甲方有关的业务资料及信息，但法律法规或监管规定</w:t>
      </w:r>
      <w:r>
        <w:rPr>
          <w:rFonts w:hint="eastAsia" w:ascii="Times New Roman" w:hAnsi="Times New Roman"/>
          <w:szCs w:val="21"/>
          <w:lang w:val="en-US" w:eastAsia="zh-CN"/>
        </w:rPr>
        <w:t>或双方书面协议</w:t>
      </w:r>
      <w:r>
        <w:rPr>
          <w:rFonts w:ascii="Times New Roman" w:hAnsi="Times New Roman"/>
          <w:szCs w:val="21"/>
        </w:rPr>
        <w:t>另有</w:t>
      </w:r>
      <w:r>
        <w:rPr>
          <w:rFonts w:hint="eastAsia" w:ascii="Times New Roman" w:hAnsi="Times New Roman"/>
          <w:szCs w:val="21"/>
          <w:lang w:val="en-US" w:eastAsia="zh-CN"/>
        </w:rPr>
        <w:t>规定</w:t>
      </w:r>
      <w:r>
        <w:rPr>
          <w:rFonts w:ascii="Times New Roman" w:hAnsi="Times New Roman"/>
          <w:szCs w:val="21"/>
        </w:rPr>
        <w:t>的除外。</w:t>
      </w:r>
    </w:p>
    <w:p>
      <w:pPr>
        <w:pStyle w:val="aa528885"/>
        <w:tabs>
          <w:tab w:val="left" w:pos="360"/>
        </w:tabs>
        <w:autoSpaceDE w:val="0"/>
        <w:autoSpaceDN w:val="0"/>
        <w:adjustRightInd w:val="0"/>
        <w:snapToGrid w:val="0"/>
        <w:spacing w:line="276" w:lineRule="auto"/>
        <w:ind w:firstLine="420" w:firstLineChars="200"/>
        <w:rPr>
          <w:rFonts w:hint="eastAsia" w:ascii="Times New Roman" w:hAnsi="Times New Roman"/>
          <w:szCs w:val="21"/>
        </w:rPr>
      </w:pPr>
      <w:r>
        <w:rPr>
          <w:rFonts w:ascii="Times New Roman" w:hAnsi="Times New Roman"/>
          <w:szCs w:val="21"/>
        </w:rPr>
        <w:t>五、</w:t>
      </w:r>
      <w:r>
        <w:rPr>
          <w:rFonts w:hint="eastAsia" w:ascii="Times New Roman" w:hAnsi="Times New Roman"/>
          <w:szCs w:val="21"/>
        </w:rPr>
        <w:t>乙方有权按照反洗钱、反恐怖融资、非居民金融账户涉税信息尽职调查及理财产品登记等相关法律法规和监管要求，收集甲方身份信息、持有理财产品信息、理财账户信息、交易明细信息等相关信息，并按规定向监管机构、理财产品登记机构等有权机关进行登记报送。</w:t>
      </w:r>
    </w:p>
    <w:p>
      <w:pPr>
        <w:pStyle w:val="aa528885"/>
        <w:widowControl/>
        <w:shd w:val="clear" w:color="auto" w:fill="FFFFFF"/>
        <w:autoSpaceDE/>
        <w:autoSpaceDN/>
        <w:adjustRightInd/>
        <w:snapToGrid/>
        <w:spacing w:line="240" w:lineRule="auto"/>
        <w:ind w:firstLine="420" w:firstLineChars="200"/>
        <w:jc w:val="left"/>
        <w:rPr>
          <w:rFonts w:hint="eastAsia" w:ascii="Times New Roman" w:hAnsi="Times New Roman"/>
          <w:szCs w:val="21"/>
        </w:rPr>
      </w:pPr>
      <w:r>
        <w:rPr>
          <w:rFonts w:hint="eastAsia" w:ascii="Times New Roman" w:hAnsi="Times New Roman"/>
          <w:szCs w:val="21"/>
          <w:lang w:val="en-US" w:eastAsia="zh-CN"/>
        </w:rPr>
        <w:t>乙方</w:t>
      </w:r>
      <w:r>
        <w:rPr>
          <w:rFonts w:hint="eastAsia" w:ascii="Times New Roman" w:hAnsi="Times New Roman"/>
          <w:szCs w:val="21"/>
        </w:rPr>
        <w:t>将会按照</w:t>
      </w:r>
      <w:r>
        <w:rPr>
          <w:rFonts w:hint="eastAsia" w:ascii="Times New Roman" w:hAnsi="Times New Roman" w:eastAsia="宋体" w:cs="Times New Roman"/>
          <w:b/>
          <w:bCs/>
          <w:szCs w:val="21"/>
          <w:lang w:val="en-US" w:eastAsia="zh-CN"/>
        </w:rPr>
        <w:t>《</w:t>
      </w:r>
      <w:r>
        <w:rPr>
          <w:rFonts w:hint="eastAsia" w:ascii="Times New Roman" w:hAnsi="Times New Roman" w:eastAsia="宋体" w:cs="Times New Roman"/>
          <w:b/>
          <w:bCs/>
          <w:kern w:val="2"/>
          <w:sz w:val="21"/>
          <w:szCs w:val="21"/>
          <w:lang w:val="en-US" w:eastAsia="zh-CN"/>
        </w:rPr>
        <w:t>厦门银行代销理财业务个人</w:t>
      </w:r>
      <w:r>
        <w:rPr>
          <w:rFonts w:hint="eastAsia" w:ascii="Times New Roman" w:hAnsi="Times New Roman" w:eastAsia="宋体" w:cs="Times New Roman"/>
          <w:b/>
          <w:bCs/>
          <w:kern w:val="2"/>
          <w:sz w:val="21"/>
          <w:szCs w:val="21"/>
        </w:rPr>
        <w:t>信息</w:t>
      </w:r>
      <w:r>
        <w:rPr>
          <w:rFonts w:hint="eastAsia" w:ascii="Times New Roman" w:hAnsi="Times New Roman" w:eastAsia="宋体" w:cs="Times New Roman"/>
          <w:b/>
          <w:bCs/>
          <w:kern w:val="2"/>
          <w:sz w:val="21"/>
          <w:szCs w:val="21"/>
          <w:lang w:val="en-US" w:eastAsia="zh-CN"/>
        </w:rPr>
        <w:t>处理</w:t>
      </w:r>
      <w:r>
        <w:rPr>
          <w:rFonts w:hint="eastAsia" w:ascii="Times New Roman" w:hAnsi="Times New Roman" w:eastAsia="宋体" w:cs="Times New Roman"/>
          <w:b/>
          <w:bCs/>
          <w:kern w:val="2"/>
          <w:sz w:val="21"/>
          <w:szCs w:val="21"/>
        </w:rPr>
        <w:t>授权书</w:t>
      </w:r>
      <w:r>
        <w:rPr>
          <w:rFonts w:hint="eastAsia" w:ascii="Times New Roman" w:hAnsi="Times New Roman" w:eastAsia="宋体" w:cs="Times New Roman"/>
          <w:b/>
          <w:bCs/>
          <w:kern w:val="2"/>
          <w:sz w:val="21"/>
          <w:szCs w:val="21"/>
          <w:lang w:eastAsia="zh-CN"/>
        </w:rPr>
        <w:t>》</w:t>
      </w:r>
      <w:r>
        <w:rPr>
          <w:rFonts w:hint="eastAsia" w:ascii="Times New Roman" w:hAnsi="Times New Roman" w:cs="Times New Roman"/>
          <w:b/>
          <w:bCs/>
          <w:kern w:val="2"/>
          <w:sz w:val="21"/>
          <w:szCs w:val="21"/>
          <w:lang w:val="en-US" w:eastAsia="zh-CN"/>
        </w:rPr>
        <w:t>中</w:t>
      </w:r>
      <w:r>
        <w:rPr>
          <w:rFonts w:hint="eastAsia" w:ascii="Times New Roman" w:hAnsi="Times New Roman"/>
          <w:szCs w:val="21"/>
          <w:lang w:val="en-US" w:eastAsia="zh-CN"/>
        </w:rPr>
        <w:t>甲方</w:t>
      </w:r>
      <w:r>
        <w:rPr>
          <w:rFonts w:hint="eastAsia" w:ascii="Times New Roman" w:hAnsi="Times New Roman"/>
          <w:szCs w:val="21"/>
        </w:rPr>
        <w:t>的授权及</w:t>
      </w:r>
      <w:r>
        <w:rPr>
          <w:rFonts w:hint="eastAsia" w:ascii="Times New Roman" w:hAnsi="Times New Roman"/>
          <w:szCs w:val="21"/>
          <w:lang w:eastAsia="zh-CN"/>
        </w:rPr>
        <w:t>《中华人民共和国个人信息保护法》</w:t>
      </w:r>
      <w:r>
        <w:rPr>
          <w:rFonts w:hint="eastAsia" w:ascii="Times New Roman" w:hAnsi="Times New Roman"/>
          <w:szCs w:val="21"/>
        </w:rPr>
        <w:t>等法律法规及监管规定的期限保存</w:t>
      </w:r>
      <w:r>
        <w:rPr>
          <w:rFonts w:hint="eastAsia" w:ascii="Times New Roman" w:hAnsi="Times New Roman"/>
          <w:szCs w:val="21"/>
          <w:lang w:val="en-US" w:eastAsia="zh-CN"/>
        </w:rPr>
        <w:t>甲方</w:t>
      </w:r>
      <w:r>
        <w:rPr>
          <w:rFonts w:hint="eastAsia" w:ascii="Times New Roman" w:hAnsi="Times New Roman"/>
          <w:szCs w:val="21"/>
        </w:rPr>
        <w:t>的相关个人信息，在符合法律、行政法规及相关监管要求的情况下，个人信息的保存期限为实现处理目的所必要的最短时间。待保存期限届满后，</w:t>
      </w:r>
      <w:r>
        <w:rPr>
          <w:rFonts w:hint="eastAsia" w:ascii="Times New Roman" w:hAnsi="Times New Roman"/>
          <w:szCs w:val="21"/>
          <w:lang w:val="en-US" w:eastAsia="zh-CN"/>
        </w:rPr>
        <w:t>乙方</w:t>
      </w:r>
      <w:r>
        <w:rPr>
          <w:rFonts w:hint="eastAsia" w:ascii="Times New Roman" w:hAnsi="Times New Roman"/>
          <w:szCs w:val="21"/>
        </w:rPr>
        <w:t>将采取技术手段从终端设备、信息系统内去除</w:t>
      </w:r>
      <w:r>
        <w:rPr>
          <w:rFonts w:hint="eastAsia" w:ascii="Times New Roman" w:hAnsi="Times New Roman"/>
          <w:szCs w:val="21"/>
          <w:lang w:val="en-US" w:eastAsia="zh-CN"/>
        </w:rPr>
        <w:t>甲方</w:t>
      </w:r>
      <w:r>
        <w:rPr>
          <w:rFonts w:hint="eastAsia" w:ascii="Times New Roman" w:hAnsi="Times New Roman"/>
          <w:szCs w:val="21"/>
        </w:rPr>
        <w:t>个人信息或进行匿名化处理，使其不可被检索、访问，或按照</w:t>
      </w:r>
      <w:r>
        <w:rPr>
          <w:rFonts w:hint="eastAsia" w:ascii="Times New Roman" w:hAnsi="Times New Roman"/>
          <w:szCs w:val="21"/>
          <w:lang w:val="en-US" w:eastAsia="zh-CN"/>
        </w:rPr>
        <w:t>乙方</w:t>
      </w:r>
      <w:r>
        <w:rPr>
          <w:rFonts w:hint="eastAsia" w:ascii="Times New Roman" w:hAnsi="Times New Roman"/>
          <w:szCs w:val="21"/>
        </w:rPr>
        <w:t>内部管理规定删除前述信息。当删除从技术上难以实现时，</w:t>
      </w:r>
      <w:r>
        <w:rPr>
          <w:rFonts w:hint="eastAsia" w:ascii="Times New Roman" w:hAnsi="Times New Roman"/>
          <w:szCs w:val="21"/>
          <w:lang w:val="en-US" w:eastAsia="zh-CN"/>
        </w:rPr>
        <w:t>乙方</w:t>
      </w:r>
      <w:r>
        <w:rPr>
          <w:rFonts w:hint="eastAsia" w:ascii="Times New Roman" w:hAnsi="Times New Roman"/>
          <w:szCs w:val="21"/>
        </w:rPr>
        <w:t>将会对前述信息停止除储存和采取必要的安全保护措施之外的处理。</w:t>
      </w:r>
    </w:p>
    <w:p>
      <w:pPr>
        <w:pStyle w:val="aa528885"/>
        <w:tabs>
          <w:tab w:val="left" w:pos="360"/>
        </w:tabs>
        <w:autoSpaceDE w:val="0"/>
        <w:autoSpaceDN w:val="0"/>
        <w:adjustRightInd w:val="0"/>
        <w:snapToGrid w:val="0"/>
        <w:spacing w:line="276" w:lineRule="auto"/>
        <w:ind w:firstLine="420" w:firstLineChars="200"/>
        <w:rPr>
          <w:rFonts w:hint="eastAsia" w:ascii="Times New Roman" w:hAnsi="Times New Roman"/>
          <w:b/>
          <w:bCs/>
          <w:szCs w:val="21"/>
        </w:rPr>
      </w:pPr>
      <w:r>
        <w:rPr>
          <w:rFonts w:hint="eastAsia" w:ascii="Times New Roman" w:hAnsi="Times New Roman"/>
          <w:szCs w:val="21"/>
        </w:rPr>
        <w:t>乙方对理财产品销售过程中获知的甲方信息承担保密义务，非经甲方事先许可，不得向上述授权范围之外的第三方透露，但法律法规或监管规定另有要求的除外。</w:t>
      </w:r>
      <w:r>
        <w:rPr>
          <w:rFonts w:hint="eastAsia" w:ascii="Times New Roman" w:hAnsi="Times New Roman"/>
          <w:b/>
          <w:bCs/>
          <w:szCs w:val="21"/>
        </w:rPr>
        <w:t>甲方充分理解并同意上述授权安排，并知悉该同意的结果系为满足法律法规、监管规定或处理本协议项下事务之目的。</w:t>
      </w:r>
    </w:p>
    <w:p>
      <w:pPr>
        <w:pStyle w:val="aa528885"/>
        <w:autoSpaceDE w:val="0"/>
        <w:autoSpaceDN w:val="0"/>
        <w:adjustRightInd w:val="0"/>
        <w:snapToGrid w:val="0"/>
        <w:spacing w:line="276" w:lineRule="auto"/>
        <w:ind w:firstLine="420" w:firstLineChars="200"/>
        <w:rPr>
          <w:rFonts w:ascii="Times New Roman" w:hAnsi="Times New Roman"/>
          <w:szCs w:val="21"/>
        </w:rPr>
      </w:pPr>
      <w:r>
        <w:rPr>
          <w:rFonts w:ascii="Times New Roman" w:hAnsi="Times New Roman"/>
          <w:szCs w:val="21"/>
        </w:rPr>
        <w:t>六、本协议与理财产品对应的《理财产品投资协议书》、《理财产品说明书》、《风险揭示书》和《投资者权益须知》构成完整的不可分割的理财产品销售文件，具有同等法律效力。</w:t>
      </w:r>
    </w:p>
    <w:p>
      <w:pPr>
        <w:pStyle w:val="aa528885"/>
        <w:autoSpaceDE w:val="0"/>
        <w:autoSpaceDN w:val="0"/>
        <w:adjustRightInd w:val="0"/>
        <w:snapToGrid w:val="0"/>
        <w:spacing w:line="276" w:lineRule="auto"/>
        <w:ind w:firstLine="420" w:firstLineChars="200"/>
        <w:rPr>
          <w:rFonts w:ascii="Times New Roman" w:hAnsi="Times New Roman"/>
          <w:szCs w:val="21"/>
        </w:rPr>
      </w:pPr>
      <w:r>
        <w:rPr>
          <w:rFonts w:hint="eastAsia" w:ascii="Times New Roman" w:hAnsi="Times New Roman"/>
          <w:szCs w:val="21"/>
        </w:rPr>
        <w:t>七、甲方购买</w:t>
      </w:r>
      <w:r>
        <w:rPr>
          <w:rFonts w:ascii="Times New Roman" w:hAnsi="Times New Roman"/>
          <w:spacing w:val="-6"/>
          <w:szCs w:val="21"/>
        </w:rPr>
        <w:t>的理财产品</w:t>
      </w:r>
      <w:r>
        <w:rPr>
          <w:rFonts w:hint="eastAsia" w:ascii="Times New Roman" w:hAnsi="Times New Roman"/>
          <w:szCs w:val="21"/>
        </w:rPr>
        <w:t>通过乙方</w:t>
      </w:r>
      <w:r>
        <w:rPr>
          <w:rFonts w:ascii="Times New Roman" w:hAnsi="Times New Roman"/>
          <w:spacing w:val="-6"/>
          <w:szCs w:val="21"/>
        </w:rPr>
        <w:t>代理销售</w:t>
      </w:r>
      <w:r>
        <w:rPr>
          <w:rFonts w:hint="eastAsia" w:ascii="Times New Roman" w:hAnsi="Times New Roman"/>
          <w:spacing w:val="-6"/>
          <w:szCs w:val="21"/>
        </w:rPr>
        <w:t>的，</w:t>
      </w:r>
      <w:r>
        <w:rPr>
          <w:rFonts w:hint="eastAsia"/>
          <w:b/>
          <w:bCs/>
        </w:rPr>
        <w:t>若乙方与产品管理人对本产品风险评级结果不一致的，乙方应当采用对应较高风险等级的评级结果并予以披露，且</w:t>
      </w:r>
      <w:r>
        <w:rPr>
          <w:rFonts w:hint="eastAsia" w:ascii="Times New Roman" w:hAnsi="Times New Roman"/>
          <w:b/>
          <w:bCs/>
          <w:spacing w:val="-6"/>
          <w:szCs w:val="21"/>
        </w:rPr>
        <w:t>理财产品评级应当以乙方最终披露的评级结果为准</w:t>
      </w:r>
      <w:r>
        <w:rPr>
          <w:rFonts w:hint="eastAsia" w:ascii="Times New Roman" w:hAnsi="Times New Roman"/>
          <w:spacing w:val="-6"/>
          <w:szCs w:val="21"/>
        </w:rPr>
        <w:t>。</w:t>
      </w:r>
    </w:p>
    <w:p>
      <w:pPr>
        <w:pStyle w:val="aa528885"/>
        <w:autoSpaceDE w:val="0"/>
        <w:autoSpaceDN w:val="0"/>
        <w:adjustRightInd w:val="0"/>
        <w:snapToGrid w:val="0"/>
        <w:spacing w:line="276" w:lineRule="auto"/>
        <w:ind w:firstLine="422" w:firstLineChars="200"/>
        <w:rPr>
          <w:rFonts w:ascii="Times New Roman" w:hAnsi="Times New Roman"/>
          <w:b/>
          <w:bCs/>
          <w:szCs w:val="21"/>
        </w:rPr>
      </w:pPr>
      <w:r>
        <w:rPr>
          <w:rFonts w:hint="eastAsia" w:ascii="Times New Roman" w:hAnsi="Times New Roman"/>
          <w:b/>
          <w:bCs/>
          <w:szCs w:val="21"/>
        </w:rPr>
        <w:t>八</w:t>
      </w:r>
      <w:r>
        <w:rPr>
          <w:rFonts w:ascii="Times New Roman" w:hAnsi="Times New Roman"/>
          <w:b/>
          <w:bCs/>
          <w:szCs w:val="21"/>
        </w:rPr>
        <w:t>、免责条款</w:t>
      </w:r>
    </w:p>
    <w:p>
      <w:pPr>
        <w:pStyle w:val="aa528885"/>
        <w:autoSpaceDE w:val="0"/>
        <w:autoSpaceDN w:val="0"/>
        <w:adjustRightInd w:val="0"/>
        <w:snapToGrid w:val="0"/>
        <w:spacing w:line="276" w:lineRule="auto"/>
        <w:ind w:firstLine="422" w:firstLineChars="200"/>
        <w:rPr>
          <w:rFonts w:ascii="宋体"/>
          <w:b/>
          <w:bCs/>
          <w:szCs w:val="21"/>
        </w:rPr>
      </w:pPr>
      <w:r>
        <w:rPr>
          <w:rFonts w:hint="eastAsia" w:ascii="宋体" w:hAnsi="宋体"/>
          <w:b/>
          <w:bCs/>
          <w:szCs w:val="21"/>
        </w:rPr>
        <w:t>（一）非乙方原因（包括但不限于甲方未按时足额缴纳本金、甲方遗失本协议、甲方协议被盗用、本协议交易账户被司法机关等有权部门冻结、扣划等原因）造成的损失，乙方不承担责任。</w:t>
      </w:r>
    </w:p>
    <w:p>
      <w:pPr>
        <w:pStyle w:val="aa528885"/>
        <w:autoSpaceDE w:val="0"/>
        <w:autoSpaceDN w:val="0"/>
        <w:adjustRightInd w:val="0"/>
        <w:snapToGrid w:val="0"/>
        <w:spacing w:line="276" w:lineRule="auto"/>
        <w:ind w:firstLine="422" w:firstLineChars="200"/>
        <w:rPr>
          <w:rFonts w:hint="eastAsia" w:ascii="宋体"/>
          <w:b/>
          <w:szCs w:val="21"/>
        </w:rPr>
      </w:pPr>
      <w:r>
        <w:rPr>
          <w:rFonts w:hint="eastAsia" w:ascii="宋体" w:hAnsi="宋体"/>
          <w:b/>
          <w:szCs w:val="21"/>
        </w:rPr>
        <w:t>（二）</w:t>
      </w:r>
      <w:r>
        <w:rPr>
          <w:rFonts w:hint="eastAsia"/>
          <w:b/>
          <w:szCs w:val="21"/>
        </w:rPr>
        <w:t>由于不可抗力事件或意外事件的出现，或</w:t>
      </w:r>
      <w:r>
        <w:rPr>
          <w:rFonts w:hint="eastAsia" w:ascii="宋体" w:hAnsi="宋体"/>
          <w:b/>
          <w:szCs w:val="21"/>
        </w:rPr>
        <w:t>乙方无过错且无法防止的外因，而导致的交易中断、延误等风险及损失，乙方不承担责任。不可抗力事件包括但不限于：法律法规及监管政策变化、紧急措施的出台，火灾、地震、洪水等</w:t>
      </w:r>
      <w:r>
        <w:rPr>
          <w:rFonts w:hint="eastAsia"/>
          <w:b/>
          <w:szCs w:val="21"/>
        </w:rPr>
        <w:t>自然灾害，战争、军事行动、罢工、流行病等不能预见、不能避免、不能克服的事件等，意外事件包括但不限于：系统故障、通讯故障、电力系统故障、金融危机、投资市场或投资品无法正常交易等。</w:t>
      </w:r>
    </w:p>
    <w:p>
      <w:pPr>
        <w:pStyle w:val="aa528885"/>
        <w:autoSpaceDE w:val="0"/>
        <w:autoSpaceDN w:val="0"/>
        <w:adjustRightInd w:val="0"/>
        <w:snapToGrid w:val="0"/>
        <w:spacing w:line="276" w:lineRule="auto"/>
        <w:ind w:firstLine="422" w:firstLineChars="200"/>
        <w:rPr>
          <w:rFonts w:hint="eastAsia" w:ascii="宋体" w:hAnsi="宋体"/>
          <w:b/>
          <w:szCs w:val="21"/>
        </w:rPr>
      </w:pPr>
      <w:r>
        <w:rPr>
          <w:rFonts w:hint="eastAsia" w:ascii="宋体" w:hAnsi="宋体"/>
          <w:b/>
          <w:szCs w:val="21"/>
        </w:rPr>
        <w:t>发生前述情形时，乙方将在条件允许的情况下采取必要合理的补救措施，尽力保护甲方利益，以减少甲方损失。</w:t>
      </w:r>
    </w:p>
    <w:p>
      <w:pPr>
        <w:pStyle w:val="aa528885"/>
        <w:autoSpaceDE w:val="0"/>
        <w:autoSpaceDN w:val="0"/>
        <w:adjustRightInd w:val="0"/>
        <w:snapToGrid w:val="0"/>
        <w:spacing w:line="276" w:lineRule="auto"/>
        <w:ind w:firstLine="422" w:firstLineChars="200"/>
        <w:rPr>
          <w:rFonts w:ascii="Times New Roman" w:hAnsi="Times New Roman"/>
          <w:b/>
          <w:bCs/>
          <w:szCs w:val="21"/>
        </w:rPr>
      </w:pPr>
      <w:r>
        <w:rPr>
          <w:rFonts w:hint="eastAsia" w:ascii="Times New Roman" w:hAnsi="Times New Roman"/>
          <w:b/>
          <w:bCs/>
          <w:szCs w:val="21"/>
        </w:rPr>
        <w:t>九</w:t>
      </w:r>
      <w:r>
        <w:rPr>
          <w:rFonts w:ascii="Times New Roman" w:hAnsi="Times New Roman"/>
          <w:b/>
          <w:bCs/>
          <w:szCs w:val="21"/>
        </w:rPr>
        <w:t>、协议的生效和终止</w:t>
      </w:r>
    </w:p>
    <w:p>
      <w:pPr>
        <w:pStyle w:val="aa528885"/>
        <w:autoSpaceDE w:val="0"/>
        <w:autoSpaceDN w:val="0"/>
        <w:adjustRightInd w:val="0"/>
        <w:snapToGrid w:val="0"/>
        <w:spacing w:line="276" w:lineRule="auto"/>
        <w:ind w:firstLine="422" w:firstLineChars="200"/>
        <w:rPr>
          <w:rFonts w:ascii="Times New Roman" w:hAnsi="Times New Roman"/>
          <w:szCs w:val="21"/>
        </w:rPr>
      </w:pPr>
      <w:r>
        <w:rPr>
          <w:rFonts w:ascii="Times New Roman" w:hAnsi="Times New Roman"/>
          <w:b/>
          <w:bCs/>
          <w:szCs w:val="21"/>
        </w:rPr>
        <w:t>1.甲方通过乙方营业网点购买</w:t>
      </w:r>
      <w:r>
        <w:rPr>
          <w:rFonts w:hint="eastAsia" w:ascii="Times New Roman" w:hAnsi="Times New Roman"/>
          <w:b/>
          <w:bCs/>
          <w:szCs w:val="21"/>
          <w:lang w:val="en-US" w:eastAsia="zh-CN"/>
        </w:rPr>
        <w:t>理财</w:t>
      </w:r>
      <w:r>
        <w:rPr>
          <w:rFonts w:ascii="Times New Roman" w:hAnsi="Times New Roman"/>
          <w:b/>
          <w:bCs/>
          <w:szCs w:val="21"/>
        </w:rPr>
        <w:t>产品的，本协议经甲方签署</w:t>
      </w:r>
      <w:r>
        <w:rPr>
          <w:rFonts w:ascii="Times New Roman" w:hAnsi="Times New Roman"/>
          <w:b/>
          <w:bCs/>
          <w:szCs w:val="21"/>
          <w:highlight w:val="none"/>
        </w:rPr>
        <w:t>后生效。</w:t>
      </w:r>
      <w:r>
        <w:rPr>
          <w:rFonts w:ascii="Times New Roman" w:hAnsi="Times New Roman"/>
          <w:b/>
          <w:bCs/>
          <w:szCs w:val="21"/>
        </w:rPr>
        <w:t>甲方通过乙方的网上银行、手机银行、智能</w:t>
      </w:r>
      <w:r>
        <w:rPr>
          <w:rFonts w:hint="eastAsia" w:ascii="Times New Roman" w:hAnsi="Times New Roman"/>
          <w:b/>
          <w:bCs/>
          <w:szCs w:val="21"/>
          <w:lang w:eastAsia="zh-CN"/>
        </w:rPr>
        <w:t>终端</w:t>
      </w:r>
      <w:r>
        <w:rPr>
          <w:rFonts w:ascii="Times New Roman" w:hAnsi="Times New Roman"/>
          <w:b/>
          <w:bCs/>
          <w:szCs w:val="21"/>
        </w:rPr>
        <w:t>等电子渠道方式购买理财产品的，甲方通过点击同意本协议后生效</w:t>
      </w:r>
      <w:r>
        <w:rPr>
          <w:rFonts w:hint="eastAsia" w:ascii="Times New Roman" w:hAnsi="Times New Roman"/>
          <w:b/>
          <w:bCs/>
          <w:szCs w:val="21"/>
        </w:rPr>
        <w:t>，</w:t>
      </w:r>
      <w:r>
        <w:rPr>
          <w:rFonts w:hint="eastAsia" w:ascii="宋体" w:hAnsi="宋体"/>
          <w:b/>
          <w:bCs/>
          <w:szCs w:val="21"/>
        </w:rPr>
        <w:t>双方认可电子数据的有效性</w:t>
      </w:r>
      <w:r>
        <w:rPr>
          <w:rFonts w:ascii="Times New Roman" w:hAnsi="Times New Roman"/>
          <w:b/>
          <w:bCs/>
          <w:szCs w:val="21"/>
        </w:rPr>
        <w:t>。</w:t>
      </w:r>
    </w:p>
    <w:p>
      <w:pPr>
        <w:pStyle w:val="aa528885"/>
        <w:autoSpaceDE w:val="0"/>
        <w:autoSpaceDN w:val="0"/>
        <w:adjustRightInd w:val="0"/>
        <w:snapToGrid w:val="0"/>
        <w:spacing w:line="276" w:lineRule="auto"/>
        <w:ind w:firstLine="422" w:firstLineChars="200"/>
        <w:rPr>
          <w:rFonts w:ascii="Times New Roman" w:hAnsi="Times New Roman"/>
          <w:b/>
          <w:bCs/>
          <w:szCs w:val="21"/>
        </w:rPr>
      </w:pPr>
      <w:r>
        <w:rPr>
          <w:rFonts w:ascii="Times New Roman" w:hAnsi="Times New Roman"/>
          <w:b/>
          <w:bCs/>
          <w:szCs w:val="21"/>
        </w:rPr>
        <w:t>2</w:t>
      </w:r>
      <w:r>
        <w:rPr>
          <w:rFonts w:hint="eastAsia" w:ascii="Times New Roman" w:hAnsi="Times New Roman"/>
          <w:b/>
          <w:bCs/>
          <w:szCs w:val="21"/>
        </w:rPr>
        <w:t>.</w:t>
      </w:r>
      <w:r>
        <w:rPr>
          <w:rFonts w:ascii="Times New Roman" w:hAnsi="Times New Roman"/>
          <w:b/>
          <w:bCs/>
          <w:szCs w:val="21"/>
        </w:rPr>
        <w:t>甲方购买理财产品失败，或理财产品到期/提前终止、甲方赎回/提前赎回并完成清算分配后，本协议自动终止。</w:t>
      </w:r>
    </w:p>
    <w:p>
      <w:pPr>
        <w:pStyle w:val="aa528885"/>
        <w:autoSpaceDE w:val="0"/>
        <w:autoSpaceDN w:val="0"/>
        <w:adjustRightInd w:val="0"/>
        <w:snapToGrid w:val="0"/>
        <w:spacing w:line="276" w:lineRule="auto"/>
        <w:ind w:firstLine="420" w:firstLineChars="200"/>
        <w:rPr>
          <w:rFonts w:ascii="Times New Roman" w:hAnsi="Times New Roman"/>
          <w:szCs w:val="21"/>
        </w:rPr>
      </w:pPr>
      <w:r>
        <w:rPr>
          <w:rFonts w:hint="eastAsia" w:ascii="宋体"/>
          <w:szCs w:val="21"/>
        </w:rPr>
        <w:t>3.甲方通过乙方提交的有效理财产品认购/申购/赎回/撤单等申请，并不意味着理财产品认购/申购/赎回/撤单等申请一定成功，具体认购/申购/赎回/撤单等申请的受理结果以</w:t>
      </w:r>
      <w:r>
        <w:rPr>
          <w:rFonts w:hint="eastAsia" w:ascii="宋体"/>
          <w:szCs w:val="21"/>
          <w:lang w:val="en-US" w:eastAsia="zh-CN"/>
        </w:rPr>
        <w:t>理财</w:t>
      </w:r>
      <w:r>
        <w:rPr>
          <w:rFonts w:hint="eastAsia" w:ascii="宋体"/>
          <w:szCs w:val="21"/>
        </w:rPr>
        <w:t>产</w:t>
      </w:r>
      <w:r>
        <w:rPr>
          <w:rFonts w:ascii="Times New Roman" w:hAnsi="Times New Roman"/>
          <w:spacing w:val="-6"/>
          <w:szCs w:val="21"/>
        </w:rPr>
        <w:t>品发行</w:t>
      </w:r>
      <w:r>
        <w:rPr>
          <w:rFonts w:hint="eastAsia" w:ascii="Times New Roman" w:hAnsi="Times New Roman"/>
          <w:spacing w:val="-6"/>
          <w:szCs w:val="21"/>
        </w:rPr>
        <w:t>与管理</w:t>
      </w:r>
      <w:r>
        <w:rPr>
          <w:rFonts w:ascii="Times New Roman" w:hAnsi="Times New Roman"/>
          <w:spacing w:val="-6"/>
          <w:szCs w:val="21"/>
        </w:rPr>
        <w:t>机构</w:t>
      </w:r>
      <w:r>
        <w:rPr>
          <w:rFonts w:hint="eastAsia" w:ascii="宋体"/>
          <w:szCs w:val="21"/>
        </w:rPr>
        <w:t>的确认为准。</w:t>
      </w:r>
    </w:p>
    <w:p>
      <w:pPr>
        <w:pStyle w:val="aa528885"/>
        <w:autoSpaceDE w:val="0"/>
        <w:autoSpaceDN w:val="0"/>
        <w:adjustRightInd w:val="0"/>
        <w:snapToGrid w:val="0"/>
        <w:spacing w:line="276" w:lineRule="auto"/>
        <w:ind w:firstLine="422" w:firstLineChars="200"/>
        <w:rPr>
          <w:rFonts w:ascii="Times New Roman" w:hAnsi="Times New Roman"/>
          <w:b/>
          <w:bCs/>
          <w:szCs w:val="21"/>
        </w:rPr>
      </w:pPr>
      <w:r>
        <w:rPr>
          <w:rFonts w:hint="eastAsia" w:ascii="Times New Roman" w:hAnsi="Times New Roman"/>
          <w:b/>
          <w:bCs/>
          <w:szCs w:val="21"/>
        </w:rPr>
        <w:t>4.</w:t>
      </w:r>
      <w:r>
        <w:rPr>
          <w:rFonts w:ascii="Times New Roman" w:hAnsi="Times New Roman"/>
          <w:b/>
          <w:bCs/>
          <w:szCs w:val="21"/>
        </w:rPr>
        <w:t>本协议及《理财产品说明书》项下各方权利义务履行完毕之日，本协议自动终止。</w:t>
      </w:r>
    </w:p>
    <w:p>
      <w:pPr>
        <w:pStyle w:val="aa528885"/>
        <w:autoSpaceDE w:val="0"/>
        <w:autoSpaceDN w:val="0"/>
        <w:adjustRightInd w:val="0"/>
        <w:snapToGrid w:val="0"/>
        <w:spacing w:line="276" w:lineRule="auto"/>
        <w:ind w:firstLine="420" w:firstLineChars="200"/>
        <w:rPr>
          <w:rFonts w:ascii="Times New Roman" w:hAnsi="Times New Roman"/>
          <w:szCs w:val="21"/>
        </w:rPr>
      </w:pPr>
      <w:r>
        <w:rPr>
          <w:rFonts w:hint="eastAsia" w:ascii="Times New Roman" w:hAnsi="Times New Roman"/>
          <w:szCs w:val="21"/>
        </w:rPr>
        <w:t>5.</w:t>
      </w:r>
      <w:r>
        <w:rPr>
          <w:rFonts w:ascii="Times New Roman" w:hAnsi="Times New Roman"/>
          <w:szCs w:val="21"/>
        </w:rPr>
        <w:t>本协议一式贰份，甲乙双方各执壹份，具有同等法律效力。</w:t>
      </w:r>
    </w:p>
    <w:p>
      <w:pPr>
        <w:pStyle w:val="aa528885"/>
        <w:spacing w:line="276" w:lineRule="auto"/>
        <w:ind w:right="840" w:firstLine="422" w:firstLineChars="200"/>
        <w:rPr>
          <w:rFonts w:ascii="Times New Roman" w:hAnsi="Times New Roman"/>
          <w:b/>
          <w:bCs/>
          <w:szCs w:val="21"/>
        </w:rPr>
      </w:pPr>
      <w:r>
        <w:rPr>
          <w:rFonts w:hint="eastAsia" w:ascii="Times New Roman" w:hAnsi="Times New Roman"/>
          <w:b/>
          <w:bCs/>
          <w:szCs w:val="21"/>
        </w:rPr>
        <w:t>十</w:t>
      </w:r>
      <w:r>
        <w:rPr>
          <w:rFonts w:ascii="Times New Roman" w:hAnsi="Times New Roman"/>
          <w:b/>
          <w:bCs/>
          <w:szCs w:val="21"/>
        </w:rPr>
        <w:t>、法律适用与争论解决</w:t>
      </w:r>
    </w:p>
    <w:p>
      <w:pPr>
        <w:pStyle w:val="aa528885"/>
        <w:autoSpaceDE w:val="0"/>
        <w:autoSpaceDN w:val="0"/>
        <w:adjustRightInd w:val="0"/>
        <w:snapToGrid w:val="0"/>
        <w:spacing w:line="276" w:lineRule="auto"/>
        <w:ind w:firstLine="420" w:firstLineChars="200"/>
        <w:rPr>
          <w:rFonts w:ascii="Times New Roman" w:hAnsi="Times New Roman"/>
          <w:szCs w:val="21"/>
        </w:rPr>
      </w:pPr>
      <w:r>
        <w:rPr>
          <w:rFonts w:ascii="Times New Roman" w:hAnsi="Times New Roman"/>
          <w:szCs w:val="21"/>
        </w:rPr>
        <w:t>1.如果甲方与乙方就本产品存在多份代理销售协议，则每份协议之间相互独立、互不影响，每份协议的效力及履行情况均独立于其他协议。</w:t>
      </w:r>
    </w:p>
    <w:p>
      <w:pPr>
        <w:pStyle w:val="aa528885"/>
        <w:autoSpaceDE w:val="0"/>
        <w:autoSpaceDN w:val="0"/>
        <w:adjustRightInd w:val="0"/>
        <w:snapToGrid w:val="0"/>
        <w:spacing w:line="276" w:lineRule="auto"/>
        <w:ind w:firstLine="420" w:firstLineChars="200"/>
        <w:rPr>
          <w:rFonts w:ascii="Times New Roman" w:hAnsi="Times New Roman"/>
          <w:szCs w:val="21"/>
        </w:rPr>
      </w:pPr>
      <w:r>
        <w:rPr>
          <w:rFonts w:ascii="Times New Roman" w:hAnsi="Times New Roman"/>
          <w:szCs w:val="21"/>
        </w:rPr>
        <w:t>2.如果由于任何原因使本协议下的部分条款无效，本协议其他条款效力不受影响。</w:t>
      </w:r>
    </w:p>
    <w:p>
      <w:pPr>
        <w:pStyle w:val="aa528885"/>
        <w:autoSpaceDE w:val="0"/>
        <w:autoSpaceDN w:val="0"/>
        <w:adjustRightInd w:val="0"/>
        <w:snapToGrid w:val="0"/>
        <w:spacing w:line="276" w:lineRule="auto"/>
        <w:ind w:firstLine="422" w:firstLineChars="200"/>
        <w:rPr>
          <w:rFonts w:ascii="Times New Roman" w:hAnsi="Times New Roman"/>
          <w:b/>
          <w:bCs/>
          <w:szCs w:val="21"/>
        </w:rPr>
      </w:pPr>
      <w:r>
        <w:rPr>
          <w:rFonts w:ascii="Times New Roman" w:hAnsi="Times New Roman"/>
          <w:b/>
          <w:bCs/>
          <w:szCs w:val="21"/>
        </w:rPr>
        <w:t>3.本协议适用中华人民共和国大陆地区法律。本协议项下及与之有关的一切争议，双方应先协商解决，协商不成的，应向</w:t>
      </w:r>
      <w:r>
        <w:rPr>
          <w:rFonts w:hint="eastAsia" w:ascii="Times New Roman" w:hAnsi="Times New Roman"/>
          <w:b/>
          <w:bCs/>
          <w:szCs w:val="21"/>
          <w:lang w:val="en-US" w:eastAsia="zh-CN"/>
        </w:rPr>
        <w:t>被告方</w:t>
      </w:r>
      <w:r>
        <w:rPr>
          <w:rFonts w:ascii="Times New Roman" w:hAnsi="Times New Roman"/>
          <w:b/>
          <w:bCs/>
          <w:szCs w:val="21"/>
        </w:rPr>
        <w:t>住所地有管辖权的人民法院提起诉讼。</w:t>
      </w:r>
    </w:p>
    <w:p>
      <w:pPr>
        <w:pStyle w:val="aa528885"/>
        <w:autoSpaceDE w:val="0"/>
        <w:autoSpaceDN w:val="0"/>
        <w:adjustRightInd w:val="0"/>
        <w:snapToGrid w:val="0"/>
        <w:spacing w:line="276" w:lineRule="auto"/>
        <w:ind w:firstLine="422" w:firstLineChars="200"/>
        <w:rPr>
          <w:rFonts w:ascii="Times New Roman" w:hAnsi="Times New Roman"/>
          <w:b/>
          <w:bCs/>
          <w:szCs w:val="21"/>
        </w:rPr>
      </w:pPr>
      <w:r>
        <w:rPr>
          <w:rFonts w:ascii="Times New Roman" w:hAnsi="Times New Roman"/>
          <w:b/>
          <w:bCs/>
          <w:szCs w:val="21"/>
        </w:rPr>
        <w:t>十</w:t>
      </w:r>
      <w:r>
        <w:rPr>
          <w:rFonts w:hint="eastAsia" w:ascii="Times New Roman" w:hAnsi="Times New Roman"/>
          <w:b/>
          <w:bCs/>
          <w:szCs w:val="21"/>
        </w:rPr>
        <w:t>一</w:t>
      </w:r>
      <w:r>
        <w:rPr>
          <w:rFonts w:ascii="Times New Roman" w:hAnsi="Times New Roman"/>
          <w:b/>
          <w:bCs/>
          <w:szCs w:val="21"/>
        </w:rPr>
        <w:t>、咨询、投诉与建议</w:t>
      </w:r>
    </w:p>
    <w:p>
      <w:pPr>
        <w:pStyle w:val="aa528885"/>
        <w:autoSpaceDE w:val="0"/>
        <w:autoSpaceDN w:val="0"/>
        <w:adjustRightInd w:val="0"/>
        <w:snapToGrid w:val="0"/>
        <w:spacing w:line="276" w:lineRule="auto"/>
        <w:ind w:firstLine="420" w:firstLineChars="200"/>
        <w:rPr>
          <w:rFonts w:ascii="Times New Roman" w:hAnsi="Times New Roman"/>
          <w:szCs w:val="21"/>
        </w:rPr>
      </w:pPr>
      <w:r>
        <w:rPr>
          <w:rFonts w:hint="eastAsia" w:ascii="Times New Roman" w:hAnsi="Times New Roman"/>
          <w:szCs w:val="21"/>
          <w:lang w:eastAsia="zh-CN"/>
        </w:rPr>
        <w:t>（</w:t>
      </w:r>
      <w:r>
        <w:rPr>
          <w:rFonts w:hint="eastAsia" w:ascii="Times New Roman" w:hAnsi="Times New Roman"/>
          <w:szCs w:val="21"/>
          <w:lang w:val="en-US" w:eastAsia="zh-CN"/>
        </w:rPr>
        <w:t>一</w:t>
      </w:r>
      <w:r>
        <w:rPr>
          <w:rFonts w:hint="eastAsia" w:ascii="Times New Roman" w:hAnsi="Times New Roman"/>
          <w:szCs w:val="21"/>
          <w:lang w:eastAsia="zh-CN"/>
        </w:rPr>
        <w:t>）</w:t>
      </w:r>
      <w:r>
        <w:rPr>
          <w:rFonts w:ascii="Times New Roman" w:hAnsi="Times New Roman"/>
          <w:szCs w:val="21"/>
        </w:rPr>
        <w:t>甲方对乙方理财产品销售方面有任何疑问、投诉或意见建议，可通过以下途径反映：</w:t>
      </w:r>
    </w:p>
    <w:p>
      <w:pPr>
        <w:pStyle w:val="aa528885"/>
        <w:autoSpaceDE w:val="0"/>
        <w:autoSpaceDN w:val="0"/>
        <w:adjustRightInd w:val="0"/>
        <w:snapToGrid w:val="0"/>
        <w:spacing w:line="276" w:lineRule="auto"/>
        <w:ind w:firstLine="420" w:firstLineChars="200"/>
        <w:rPr>
          <w:rFonts w:ascii="Times New Roman" w:hAnsi="Times New Roman"/>
          <w:szCs w:val="21"/>
        </w:rPr>
      </w:pPr>
      <w:r>
        <w:rPr>
          <w:rFonts w:ascii="Times New Roman" w:hAnsi="Times New Roman"/>
          <w:szCs w:val="21"/>
        </w:rPr>
        <w:t>1.乙方销售理财产品的营业网点工作人员</w:t>
      </w:r>
    </w:p>
    <w:p>
      <w:pPr>
        <w:pStyle w:val="aa528885"/>
        <w:autoSpaceDE w:val="0"/>
        <w:autoSpaceDN w:val="0"/>
        <w:adjustRightInd w:val="0"/>
        <w:snapToGrid w:val="0"/>
        <w:spacing w:line="276" w:lineRule="auto"/>
        <w:ind w:firstLine="420" w:firstLineChars="200"/>
        <w:rPr>
          <w:rFonts w:hint="default" w:ascii="Times New Roman" w:hAnsi="Times New Roman" w:eastAsia="宋体"/>
          <w:szCs w:val="21"/>
          <w:lang w:val="en-US" w:eastAsia="zh-CN"/>
        </w:rPr>
      </w:pPr>
      <w:r>
        <w:rPr>
          <w:rFonts w:ascii="Times New Roman" w:hAnsi="Times New Roman"/>
          <w:szCs w:val="21"/>
        </w:rPr>
        <w:t>2.</w:t>
      </w:r>
      <w:r>
        <w:rPr>
          <w:rFonts w:hint="eastAsia" w:ascii="Times New Roman" w:hAnsi="Times New Roman"/>
          <w:szCs w:val="21"/>
          <w:lang w:val="en-US" w:eastAsia="zh-CN"/>
        </w:rPr>
        <w:t>客服热线：</w:t>
      </w:r>
    </w:p>
    <w:p>
      <w:pPr>
        <w:pStyle w:val="aa528885"/>
        <w:autoSpaceDE w:val="0"/>
        <w:autoSpaceDN w:val="0"/>
        <w:adjustRightInd w:val="0"/>
        <w:snapToGrid w:val="0"/>
        <w:spacing w:line="276" w:lineRule="auto"/>
        <w:ind w:left="420" w:leftChars="200" w:firstLine="0" w:firstLineChars="0"/>
        <w:rPr>
          <w:rFonts w:hint="default" w:ascii="Times New Roman" w:hAnsi="Times New Roman" w:eastAsia="宋体" w:cs="Times New Roman"/>
          <w:kern w:val="2"/>
          <w:sz w:val="21"/>
          <w:szCs w:val="21"/>
          <w:lang w:val="en-US" w:eastAsia="zh-CN"/>
        </w:rPr>
      </w:pPr>
      <w:r>
        <w:rPr>
          <w:rFonts w:hint="default" w:ascii="Times New Roman" w:hAnsi="Times New Roman" w:eastAsia="宋体" w:cs="Times New Roman"/>
          <w:kern w:val="2"/>
          <w:sz w:val="21"/>
          <w:szCs w:val="21"/>
          <w:lang w:val="en-US" w:eastAsia="zh-CN"/>
        </w:rPr>
        <w:t>大陆地区客服热线： 400-858-8888</w:t>
      </w:r>
      <w:r>
        <w:rPr>
          <w:rFonts w:hint="default" w:ascii="Times New Roman" w:hAnsi="Times New Roman" w:eastAsia="宋体" w:cs="Times New Roman"/>
          <w:kern w:val="2"/>
          <w:sz w:val="21"/>
          <w:szCs w:val="21"/>
          <w:lang w:val="en-US" w:eastAsia="zh-CN"/>
        </w:rPr>
        <w:br w:type="textWrapping"/>
      </w:r>
      <w:r>
        <w:rPr>
          <w:rFonts w:hint="default" w:ascii="Times New Roman" w:hAnsi="Times New Roman" w:eastAsia="宋体" w:cs="Times New Roman"/>
          <w:kern w:val="2"/>
          <w:sz w:val="21"/>
          <w:szCs w:val="21"/>
          <w:lang w:val="en-US" w:eastAsia="zh-CN"/>
        </w:rPr>
        <w:t>台湾地区客服热线： 0080-186-3155</w:t>
      </w:r>
    </w:p>
    <w:p>
      <w:pPr>
        <w:pStyle w:val="aa528885"/>
        <w:numPr>
          <w:ilvl w:val="0"/>
          <w:numId w:val="0"/>
        </w:numPr>
        <w:autoSpaceDE w:val="0"/>
        <w:autoSpaceDN w:val="0"/>
        <w:adjustRightInd w:val="0"/>
        <w:snapToGrid w:val="0"/>
        <w:spacing w:line="276" w:lineRule="auto"/>
        <w:ind w:left="420" w:leftChars="200" w:firstLine="0" w:firstLineChars="0"/>
        <w:rPr>
          <w:rFonts w:hint="default" w:ascii="Times New Roman" w:hAnsi="Times New Roman" w:eastAsia="宋体" w:cs="Times New Roman"/>
          <w:kern w:val="2"/>
          <w:sz w:val="21"/>
          <w:szCs w:val="21"/>
          <w:lang w:val="en-US" w:eastAsia="zh-CN"/>
        </w:rPr>
      </w:pPr>
      <w:r>
        <w:rPr>
          <w:rFonts w:hint="eastAsia" w:ascii="Times New Roman" w:hAnsi="Times New Roman" w:cs="Times New Roman"/>
          <w:kern w:val="2"/>
          <w:sz w:val="21"/>
          <w:szCs w:val="21"/>
          <w:lang w:val="en-US" w:eastAsia="zh-CN"/>
        </w:rPr>
        <w:t>3.</w:t>
      </w:r>
      <w:r>
        <w:rPr>
          <w:rFonts w:hint="default" w:ascii="Times New Roman" w:hAnsi="Times New Roman" w:eastAsia="宋体" w:cs="Times New Roman"/>
          <w:kern w:val="2"/>
          <w:sz w:val="21"/>
          <w:szCs w:val="21"/>
          <w:lang w:val="en-US" w:eastAsia="zh-CN"/>
        </w:rPr>
        <w:t>电子邮箱：</w:t>
      </w:r>
      <w:r>
        <w:rPr>
          <w:rFonts w:hint="default" w:ascii="Times New Roman" w:hAnsi="Times New Roman" w:eastAsia="宋体" w:cs="Times New Roman"/>
          <w:kern w:val="2"/>
          <w:sz w:val="21"/>
          <w:szCs w:val="21"/>
          <w:lang w:val="en-US" w:eastAsia="zh-CN"/>
        </w:rPr>
        <w:br w:type="textWrapping"/>
      </w:r>
      <w:r>
        <w:rPr>
          <w:rFonts w:hint="default" w:ascii="Times New Roman" w:hAnsi="Times New Roman" w:eastAsia="宋体" w:cs="Times New Roman"/>
          <w:kern w:val="2"/>
          <w:sz w:val="21"/>
          <w:szCs w:val="21"/>
          <w:lang w:val="en-US" w:eastAsia="zh-CN"/>
        </w:rPr>
        <w:t>投诉受理邮箱：  4008588888@xmbankonline.com</w:t>
      </w:r>
      <w:r>
        <w:rPr>
          <w:rFonts w:hint="default" w:ascii="Times New Roman" w:hAnsi="Times New Roman" w:eastAsia="宋体" w:cs="Times New Roman"/>
          <w:kern w:val="2"/>
          <w:sz w:val="21"/>
          <w:szCs w:val="21"/>
          <w:lang w:val="en-US" w:eastAsia="zh-CN"/>
        </w:rPr>
        <w:br w:type="textWrapping"/>
      </w:r>
      <w:r>
        <w:rPr>
          <w:rFonts w:hint="default" w:ascii="Times New Roman" w:hAnsi="Times New Roman" w:eastAsia="宋体" w:cs="Times New Roman"/>
          <w:kern w:val="2"/>
          <w:sz w:val="21"/>
          <w:szCs w:val="21"/>
          <w:lang w:val="en-US" w:eastAsia="zh-CN"/>
        </w:rPr>
        <w:t>个人信息保护负责人联系方式：</w:t>
      </w:r>
      <w:r>
        <w:rPr>
          <w:rFonts w:hint="default" w:ascii="Times New Roman" w:hAnsi="Times New Roman" w:eastAsia="宋体" w:cs="Times New Roman"/>
          <w:kern w:val="2"/>
          <w:sz w:val="21"/>
          <w:szCs w:val="21"/>
          <w:lang w:val="en-US" w:eastAsia="zh-CN"/>
        </w:rPr>
        <w:fldChar w:fldCharType="begin"/>
      </w:r>
      <w:r>
        <w:rPr>
          <w:rFonts w:hint="default" w:ascii="Times New Roman" w:hAnsi="Times New Roman" w:eastAsia="宋体" w:cs="Times New Roman"/>
          <w:kern w:val="2"/>
          <w:sz w:val="21"/>
          <w:szCs w:val="21"/>
          <w:lang w:val="en-US" w:eastAsia="zh-CN"/>
        </w:rPr>
        <w:instrText xml:space="preserve"> HYPERLINK "mailto:gbfzr@xmbankonline.com" </w:instrText>
      </w:r>
      <w:r>
        <w:rPr>
          <w:rFonts w:hint="default" w:ascii="Times New Roman" w:hAnsi="Times New Roman" w:eastAsia="宋体" w:cs="Times New Roman"/>
          <w:kern w:val="2"/>
          <w:sz w:val="21"/>
          <w:szCs w:val="21"/>
          <w:lang w:val="en-US" w:eastAsia="zh-CN"/>
        </w:rPr>
        <w:fldChar w:fldCharType="separate"/>
      </w:r>
      <w:r>
        <w:rPr>
          <w:rStyle w:val="fd08efd3"/>
          <w:rFonts w:hint="default" w:ascii="Times New Roman" w:hAnsi="Times New Roman" w:eastAsia="宋体" w:cs="Times New Roman"/>
          <w:kern w:val="2"/>
          <w:sz w:val="21"/>
          <w:szCs w:val="21"/>
          <w:lang w:val="en-US" w:eastAsia="zh-CN"/>
        </w:rPr>
        <w:t>gbfzr@xmbankonline.com</w:t>
      </w:r>
      <w:r>
        <w:rPr>
          <w:rFonts w:hint="default" w:ascii="Times New Roman" w:hAnsi="Times New Roman" w:eastAsia="宋体" w:cs="Times New Roman"/>
          <w:kern w:val="2"/>
          <w:sz w:val="21"/>
          <w:szCs w:val="21"/>
          <w:lang w:val="en-US" w:eastAsia="zh-CN"/>
        </w:rPr>
        <w:fldChar w:fldCharType="end"/>
      </w:r>
    </w:p>
    <w:p>
      <w:pPr>
        <w:pStyle w:val="aa528885"/>
        <w:numPr>
          <w:ilvl w:val="0"/>
          <w:numId w:val="0"/>
        </w:numPr>
        <w:autoSpaceDE w:val="0"/>
        <w:autoSpaceDN w:val="0"/>
        <w:adjustRightInd w:val="0"/>
        <w:snapToGrid w:val="0"/>
        <w:spacing w:line="276" w:lineRule="auto"/>
        <w:ind w:left="420" w:leftChars="200" w:firstLine="0" w:firstLineChars="0"/>
        <w:rPr>
          <w:rFonts w:ascii="Times New Roman" w:hAnsi="Times New Roman"/>
          <w:szCs w:val="21"/>
        </w:rPr>
      </w:pPr>
      <w:r>
        <w:rPr>
          <w:rFonts w:hint="eastAsia" w:ascii="Times New Roman" w:hAnsi="Times New Roman" w:cs="Times New Roman"/>
          <w:kern w:val="2"/>
          <w:sz w:val="21"/>
          <w:szCs w:val="21"/>
          <w:lang w:val="en-US" w:eastAsia="zh-CN"/>
        </w:rPr>
        <w:t>4.</w:t>
      </w:r>
      <w:r>
        <w:rPr>
          <w:rFonts w:hint="default" w:ascii="Times New Roman" w:hAnsi="Times New Roman" w:eastAsia="宋体" w:cs="Times New Roman"/>
          <w:kern w:val="2"/>
          <w:sz w:val="21"/>
          <w:szCs w:val="21"/>
          <w:lang w:val="en-US" w:eastAsia="zh-CN"/>
        </w:rPr>
        <w:t>信函渠道： </w:t>
      </w:r>
      <w:r>
        <w:rPr>
          <w:rFonts w:hint="default" w:ascii="Times New Roman" w:hAnsi="Times New Roman" w:eastAsia="宋体" w:cs="Times New Roman"/>
          <w:kern w:val="2"/>
          <w:sz w:val="21"/>
          <w:szCs w:val="21"/>
          <w:lang w:val="en-US" w:eastAsia="zh-CN"/>
        </w:rPr>
        <w:br w:type="textWrapping"/>
      </w:r>
      <w:r>
        <w:rPr>
          <w:rFonts w:hint="default" w:ascii="Times New Roman" w:hAnsi="Times New Roman" w:eastAsia="宋体" w:cs="Times New Roman"/>
          <w:kern w:val="2"/>
          <w:sz w:val="21"/>
          <w:szCs w:val="21"/>
          <w:lang w:val="en-US" w:eastAsia="zh-CN"/>
        </w:rPr>
        <w:t>福建省厦门市思明区湖滨北路101号厦门银行</w:t>
      </w:r>
      <w:r>
        <w:rPr>
          <w:rFonts w:hint="default" w:ascii="Times New Roman" w:hAnsi="Times New Roman" w:eastAsia="宋体" w:cs="Times New Roman"/>
          <w:kern w:val="2"/>
          <w:sz w:val="21"/>
          <w:szCs w:val="21"/>
          <w:lang w:val="en-US" w:eastAsia="zh-CN"/>
        </w:rPr>
        <w:br w:type="textWrapping"/>
      </w:r>
      <w:r>
        <w:rPr>
          <w:rFonts w:hint="default" w:ascii="Times New Roman" w:hAnsi="Times New Roman" w:eastAsia="宋体" w:cs="Times New Roman"/>
          <w:kern w:val="2"/>
          <w:sz w:val="21"/>
          <w:szCs w:val="21"/>
          <w:lang w:val="en-US" w:eastAsia="zh-CN"/>
        </w:rPr>
        <w:t>消费者权益保护中心</w:t>
      </w:r>
      <w:r>
        <w:rPr>
          <w:rFonts w:hint="default" w:ascii="Times New Roman" w:hAnsi="Times New Roman" w:eastAsia="宋体" w:cs="Times New Roman"/>
          <w:kern w:val="2"/>
          <w:sz w:val="21"/>
          <w:szCs w:val="21"/>
          <w:lang w:val="en-US" w:eastAsia="zh-CN"/>
        </w:rPr>
        <w:br w:type="textWrapping"/>
      </w:r>
      <w:r>
        <w:rPr>
          <w:rFonts w:hint="default" w:ascii="Times New Roman" w:hAnsi="Times New Roman" w:eastAsia="宋体" w:cs="Times New Roman"/>
          <w:kern w:val="2"/>
          <w:sz w:val="21"/>
          <w:szCs w:val="21"/>
          <w:lang w:val="en-US" w:eastAsia="zh-CN"/>
        </w:rPr>
        <w:t>邮编361012</w:t>
      </w:r>
    </w:p>
    <w:p>
      <w:pPr>
        <w:pStyle w:val="aa528885"/>
        <w:numPr>
          <w:ilvl w:val="0"/>
          <w:numId w:val="0"/>
        </w:numPr>
        <w:autoSpaceDE w:val="0"/>
        <w:autoSpaceDN w:val="0"/>
        <w:adjustRightInd w:val="0"/>
        <w:snapToGrid w:val="0"/>
        <w:spacing w:line="276" w:lineRule="auto"/>
        <w:ind w:left="420" w:leftChars="200" w:firstLine="0" w:firstLineChars="0"/>
        <w:rPr>
          <w:rFonts w:hint="default" w:ascii="Times New Roman" w:hAnsi="Times New Roman"/>
          <w:szCs w:val="21"/>
        </w:rPr>
      </w:pPr>
      <w:r>
        <w:rPr>
          <w:rFonts w:hint="eastAsia" w:ascii="Times New Roman" w:hAnsi="Times New Roman"/>
          <w:szCs w:val="21"/>
          <w:lang w:val="en-US" w:eastAsia="zh-CN"/>
        </w:rPr>
        <w:t>5.</w:t>
      </w:r>
      <w:r>
        <w:rPr>
          <w:rFonts w:hint="default" w:ascii="Times New Roman" w:hAnsi="Times New Roman"/>
          <w:szCs w:val="21"/>
        </w:rPr>
        <w:t>在线客服：</w:t>
      </w:r>
    </w:p>
    <w:p>
      <w:pPr>
        <w:pStyle w:val="aa528885"/>
        <w:numPr>
          <w:ilvl w:val="0"/>
          <w:numId w:val="0"/>
        </w:numPr>
        <w:autoSpaceDE w:val="0"/>
        <w:autoSpaceDN w:val="0"/>
        <w:adjustRightInd w:val="0"/>
        <w:snapToGrid w:val="0"/>
        <w:spacing w:line="276" w:lineRule="auto"/>
        <w:ind w:left="420" w:leftChars="200" w:firstLine="0" w:firstLineChars="0"/>
        <w:rPr>
          <w:rFonts w:hint="default" w:ascii="Times New Roman" w:hAnsi="Times New Roman"/>
          <w:szCs w:val="21"/>
        </w:rPr>
      </w:pPr>
      <w:r>
        <w:rPr>
          <w:rFonts w:hint="default" w:ascii="Times New Roman" w:hAnsi="Times New Roman"/>
          <w:szCs w:val="21"/>
        </w:rPr>
        <w:t>手机银行：登录手机银行首页，右上角点击“在线客服”</w:t>
      </w:r>
    </w:p>
    <w:p>
      <w:pPr>
        <w:pStyle w:val="aa528885"/>
        <w:numPr>
          <w:ilvl w:val="0"/>
          <w:numId w:val="0"/>
        </w:numPr>
        <w:autoSpaceDE w:val="0"/>
        <w:autoSpaceDN w:val="0"/>
        <w:adjustRightInd w:val="0"/>
        <w:snapToGrid w:val="0"/>
        <w:spacing w:line="276" w:lineRule="auto"/>
        <w:ind w:left="420" w:leftChars="200" w:firstLine="0" w:firstLineChars="0"/>
        <w:rPr>
          <w:rFonts w:ascii="Times New Roman" w:hAnsi="Times New Roman"/>
          <w:szCs w:val="21"/>
        </w:rPr>
      </w:pPr>
      <w:r>
        <w:rPr>
          <w:rFonts w:hint="default" w:ascii="Times New Roman" w:hAnsi="Times New Roman"/>
          <w:szCs w:val="21"/>
        </w:rPr>
        <w:t>网上银行：登录网上银行，右上角点击“在线客服”</w:t>
      </w:r>
    </w:p>
    <w:p>
      <w:pPr>
        <w:pStyle w:val="aa528885"/>
        <w:autoSpaceDE w:val="0"/>
        <w:autoSpaceDN w:val="0"/>
        <w:adjustRightInd w:val="0"/>
        <w:snapToGrid w:val="0"/>
        <w:spacing w:line="276" w:lineRule="auto"/>
        <w:ind w:firstLine="420" w:firstLineChars="200"/>
        <w:rPr>
          <w:rFonts w:ascii="Times New Roman" w:hAnsi="Times New Roman"/>
          <w:szCs w:val="21"/>
        </w:rPr>
      </w:pPr>
      <w:r>
        <w:rPr>
          <w:rFonts w:hint="eastAsia" w:ascii="Times New Roman" w:hAnsi="Times New Roman"/>
          <w:szCs w:val="21"/>
          <w:lang w:eastAsia="zh-CN"/>
        </w:rPr>
        <w:t>（</w:t>
      </w:r>
      <w:r>
        <w:rPr>
          <w:rFonts w:hint="eastAsia" w:ascii="Times New Roman" w:hAnsi="Times New Roman"/>
          <w:szCs w:val="21"/>
          <w:lang w:val="en-US" w:eastAsia="zh-CN"/>
        </w:rPr>
        <w:t>二</w:t>
      </w:r>
      <w:r>
        <w:rPr>
          <w:rFonts w:hint="eastAsia" w:ascii="Times New Roman" w:hAnsi="Times New Roman"/>
          <w:szCs w:val="21"/>
          <w:lang w:eastAsia="zh-CN"/>
        </w:rPr>
        <w:t>）</w:t>
      </w:r>
      <w:r>
        <w:rPr>
          <w:rFonts w:ascii="Times New Roman" w:hAnsi="Times New Roman"/>
          <w:szCs w:val="21"/>
        </w:rPr>
        <w:t>如甲方有对理财产品发行与管理相关的投诉与建议，可通过</w:t>
      </w:r>
      <w:r>
        <w:rPr>
          <w:rFonts w:hint="eastAsia" w:ascii="Times New Roman" w:hAnsi="Times New Roman"/>
          <w:szCs w:val="21"/>
          <w:lang w:val="en-US" w:eastAsia="zh-CN"/>
        </w:rPr>
        <w:t>本条款中第（一）款的方式</w:t>
      </w:r>
      <w:r>
        <w:rPr>
          <w:rFonts w:ascii="Times New Roman" w:hAnsi="Times New Roman"/>
          <w:szCs w:val="21"/>
        </w:rPr>
        <w:t>进行反映，</w:t>
      </w:r>
      <w:r>
        <w:rPr>
          <w:rFonts w:hint="eastAsia" w:ascii="Times New Roman" w:hAnsi="Times New Roman"/>
          <w:szCs w:val="21"/>
          <w:lang w:val="en-US" w:eastAsia="zh-CN"/>
        </w:rPr>
        <w:t>以上方式</w:t>
      </w:r>
      <w:r>
        <w:rPr>
          <w:rFonts w:ascii="Times New Roman" w:hAnsi="Times New Roman"/>
          <w:szCs w:val="21"/>
        </w:rPr>
        <w:t>仅为</w:t>
      </w:r>
      <w:r>
        <w:rPr>
          <w:rFonts w:hint="eastAsia" w:ascii="Times New Roman" w:hAnsi="Times New Roman"/>
          <w:szCs w:val="21"/>
          <w:lang w:val="en-US" w:eastAsia="zh-CN"/>
        </w:rPr>
        <w:t>乙方的</w:t>
      </w:r>
      <w:r>
        <w:rPr>
          <w:rFonts w:ascii="Times New Roman" w:hAnsi="Times New Roman"/>
          <w:szCs w:val="21"/>
        </w:rPr>
        <w:t>受理渠道，最终以</w:t>
      </w:r>
      <w:r>
        <w:rPr>
          <w:rFonts w:hint="eastAsia" w:ascii="Times New Roman" w:hAnsi="Times New Roman"/>
          <w:szCs w:val="21"/>
          <w:lang w:val="en-US" w:eastAsia="zh-CN"/>
        </w:rPr>
        <w:t>理财</w:t>
      </w:r>
      <w:r>
        <w:rPr>
          <w:rFonts w:ascii="Times New Roman" w:hAnsi="Times New Roman"/>
          <w:szCs w:val="21"/>
        </w:rPr>
        <w:t>产品发行</w:t>
      </w:r>
      <w:r>
        <w:rPr>
          <w:rFonts w:hint="eastAsia" w:ascii="Times New Roman" w:hAnsi="Times New Roman"/>
          <w:szCs w:val="21"/>
        </w:rPr>
        <w:t>与管理</w:t>
      </w:r>
      <w:r>
        <w:rPr>
          <w:rFonts w:ascii="Times New Roman" w:hAnsi="Times New Roman"/>
          <w:szCs w:val="21"/>
        </w:rPr>
        <w:t>机构处理结果或回复意见为准。</w:t>
      </w:r>
    </w:p>
    <w:p>
      <w:pPr>
        <w:pStyle w:val="aa528885"/>
        <w:autoSpaceDE w:val="0"/>
        <w:autoSpaceDN w:val="0"/>
        <w:adjustRightInd w:val="0"/>
        <w:snapToGrid w:val="0"/>
        <w:spacing w:line="276" w:lineRule="auto"/>
        <w:ind w:firstLine="420" w:firstLineChars="200"/>
        <w:rPr>
          <w:rFonts w:hint="default" w:ascii="Times New Roman" w:hAnsi="Times New Roman"/>
          <w:szCs w:val="21"/>
        </w:rPr>
      </w:pPr>
      <w:r>
        <w:rPr>
          <w:rFonts w:hint="eastAsia" w:ascii="Times New Roman" w:hAnsi="Times New Roman"/>
          <w:szCs w:val="21"/>
          <w:lang w:eastAsia="zh-CN"/>
        </w:rPr>
        <w:t>（</w:t>
      </w:r>
      <w:r>
        <w:rPr>
          <w:rFonts w:hint="eastAsia" w:ascii="Times New Roman" w:hAnsi="Times New Roman"/>
          <w:szCs w:val="21"/>
          <w:lang w:val="en-US" w:eastAsia="zh-CN"/>
        </w:rPr>
        <w:t>三</w:t>
      </w:r>
      <w:r>
        <w:rPr>
          <w:rFonts w:hint="eastAsia" w:ascii="Times New Roman" w:hAnsi="Times New Roman"/>
          <w:szCs w:val="21"/>
          <w:lang w:eastAsia="zh-CN"/>
        </w:rPr>
        <w:t>）</w:t>
      </w:r>
      <w:r>
        <w:rPr>
          <w:rFonts w:hint="default" w:ascii="Times New Roman" w:hAnsi="Times New Roman"/>
          <w:szCs w:val="21"/>
        </w:rPr>
        <w:t>受理</w:t>
      </w:r>
      <w:r>
        <w:rPr>
          <w:rFonts w:hint="eastAsia" w:ascii="Times New Roman" w:hAnsi="Times New Roman"/>
          <w:szCs w:val="21"/>
          <w:lang w:val="en-US" w:eastAsia="zh-CN"/>
        </w:rPr>
        <w:t>甲方</w:t>
      </w:r>
      <w:r>
        <w:rPr>
          <w:rFonts w:hint="default" w:ascii="Times New Roman" w:hAnsi="Times New Roman"/>
          <w:szCs w:val="21"/>
        </w:rPr>
        <w:t>的问题后，</w:t>
      </w:r>
      <w:r>
        <w:rPr>
          <w:rFonts w:hint="eastAsia" w:ascii="Times New Roman" w:hAnsi="Times New Roman"/>
          <w:szCs w:val="21"/>
          <w:lang w:val="en-US" w:eastAsia="zh-CN"/>
        </w:rPr>
        <w:t>乙方将</w:t>
      </w:r>
      <w:r>
        <w:rPr>
          <w:rFonts w:hint="default" w:ascii="Times New Roman" w:hAnsi="Times New Roman"/>
          <w:szCs w:val="21"/>
        </w:rPr>
        <w:t>及时进行处理，并在15日内回复处理意见或结果，请</w:t>
      </w:r>
      <w:r>
        <w:rPr>
          <w:rFonts w:hint="eastAsia" w:ascii="Times New Roman" w:hAnsi="Times New Roman"/>
          <w:szCs w:val="21"/>
          <w:lang w:val="en-US" w:eastAsia="zh-CN"/>
        </w:rPr>
        <w:t>甲方</w:t>
      </w:r>
      <w:r>
        <w:rPr>
          <w:rFonts w:hint="default" w:ascii="Times New Roman" w:hAnsi="Times New Roman"/>
          <w:szCs w:val="21"/>
        </w:rPr>
        <w:t>保持接收渠道畅通。</w:t>
      </w:r>
    </w:p>
    <w:p>
      <w:pPr>
        <w:pStyle w:val="aa528885"/>
        <w:autoSpaceDE w:val="0"/>
        <w:autoSpaceDN w:val="0"/>
        <w:adjustRightInd w:val="0"/>
        <w:snapToGrid w:val="0"/>
        <w:spacing w:line="276" w:lineRule="auto"/>
        <w:ind w:firstLine="420" w:firstLineChars="200"/>
        <w:rPr>
          <w:rFonts w:hint="default" w:ascii="Times New Roman" w:hAnsi="Times New Roman"/>
          <w:szCs w:val="21"/>
        </w:rPr>
      </w:pPr>
    </w:p>
    <w:p>
      <w:pPr>
        <w:pStyle w:val="aa528885"/>
        <w:spacing w:line="276" w:lineRule="auto"/>
        <w:ind w:left="7440" w:hanging="7440"/>
        <w:rPr>
          <w:rFonts w:hint="default" w:ascii="Times New Roman" w:hAnsi="Times New Roman" w:eastAsia="宋体"/>
          <w:szCs w:val="21"/>
          <w:highlight w:val="none"/>
          <w:lang w:val="en-US" w:eastAsia="zh-CN"/>
        </w:rPr>
      </w:pPr>
      <w:r>
        <w:rPr>
          <w:rFonts w:ascii="Times New Roman" w:hAnsi="Times New Roman"/>
          <w:szCs w:val="21"/>
        </w:rPr>
        <w:t>甲方:                                            乙</w:t>
      </w:r>
      <w:r>
        <w:rPr>
          <w:rFonts w:ascii="Times New Roman" w:hAnsi="Times New Roman"/>
          <w:szCs w:val="21"/>
          <w:highlight w:val="none"/>
        </w:rPr>
        <w:t>方：</w:t>
      </w:r>
      <w:r>
        <w:rPr>
          <w:rFonts w:hint="eastAsia" w:ascii="Times New Roman" w:hAnsi="Times New Roman"/>
          <w:szCs w:val="21"/>
          <w:highlight w:val="none"/>
          <w:lang w:val="en-US" w:eastAsia="zh-CN"/>
        </w:rPr>
        <w:t>厦门银行股份有限公司</w:t>
      </w:r>
    </w:p>
    <w:p>
      <w:pPr>
        <w:pStyle w:val="aa528885"/>
        <w:spacing w:line="276" w:lineRule="auto"/>
        <w:ind w:left="7440" w:hanging="7440"/>
        <w:rPr>
          <w:rFonts w:ascii="Times New Roman" w:hAnsi="Times New Roman"/>
          <w:sz w:val="24"/>
        </w:rPr>
      </w:pPr>
    </w:p>
    <w:p>
      <w:pPr>
        <w:pStyle w:val="aa528885"/>
        <w:spacing w:line="276" w:lineRule="auto"/>
        <w:ind w:left="7440" w:hanging="7440"/>
        <w:rPr>
          <w:rFonts w:ascii="Times New Roman" w:hAnsi="Times New Roman"/>
          <w:szCs w:val="21"/>
        </w:rPr>
      </w:pPr>
    </w:p>
    <w:p>
      <w:pPr>
        <w:pStyle w:val="aa528885"/>
        <w:spacing w:line="276" w:lineRule="auto"/>
        <w:ind w:left="7440" w:hanging="7440"/>
        <w:rPr>
          <w:rFonts w:ascii="Times New Roman" w:hAnsi="Times New Roman"/>
          <w:sz w:val="24"/>
        </w:rPr>
      </w:pPr>
      <w:r>
        <w:rPr>
          <w:rFonts w:ascii="Times New Roman" w:hAnsi="Times New Roman"/>
          <w:szCs w:val="21"/>
        </w:rPr>
        <w:t xml:space="preserve">个人投资者签字：                              </w:t>
      </w:r>
    </w:p>
    <w:p>
      <w:pPr>
        <w:pStyle w:val="aa528885"/>
        <w:spacing w:line="276" w:lineRule="auto"/>
        <w:rPr>
          <w:rFonts w:ascii="Times New Roman" w:hAnsi="Times New Roman"/>
          <w:szCs w:val="21"/>
        </w:rPr>
      </w:pPr>
    </w:p>
    <w:p>
      <w:pPr>
        <w:pStyle w:val="aa528885"/>
        <w:spacing w:line="276" w:lineRule="auto"/>
        <w:rPr>
          <w:rFonts w:ascii="Times New Roman" w:hAnsi="Times New Roman"/>
          <w:szCs w:val="21"/>
        </w:rPr>
      </w:pPr>
    </w:p>
    <w:p>
      <w:pPr>
        <w:pStyle w:val="aa528885"/>
        <w:adjustRightInd w:val="0"/>
        <w:snapToGrid w:val="0"/>
        <w:spacing w:line="276" w:lineRule="auto"/>
        <w:rPr>
          <w:rFonts w:ascii="Times New Roman" w:hAnsi="Times New Roman"/>
        </w:rPr>
      </w:pPr>
      <w:r>
        <w:rPr>
          <w:rFonts w:ascii="Times New Roman" w:hAnsi="Times New Roman"/>
          <w:szCs w:val="21"/>
        </w:rPr>
        <w:t>签约时间：   年   月   日                        签约时间：  年   月   日</w:t>
      </w:r>
    </w:p>
    <w:p>
      <w:pPr>
        <w:pStyle w:val="aa528885"/>
        <w:autoSpaceDE w:val="0"/>
        <w:autoSpaceDN w:val="0"/>
        <w:adjustRightInd w:val="0"/>
        <w:jc w:val="left"/>
        <w:rPr>
          <w:rFonts w:hint="default" w:ascii="仿宋" w:hAnsi="仿宋" w:eastAsia="仿宋" w:cs="仿宋"/>
          <w:sz w:val="21"/>
          <w:szCs w:val="21"/>
          <w:lang w:val="en-US" w:eastAsia="zh-CN"/>
        </w:rPr>
      </w:pPr>
    </w:p>
    <w:sectPr/>
  </w:body>
</w:document>
</file>

<file path=word/settings.xml><?xml version="1.0" encoding="utf-8"?>
<w:settings xmlns:w="http://schemas.openxmlformats.org/wordprocessingml/2006/main"/>
</file>

<file path=word/styles.xml><?xml version="1.0" encoding="utf-8"?>
<w:styles xmlns:w="http://schemas.openxmlformats.org/wordprocessingml/2006/main">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
    <w:name w:val="Normal1"/>
    <w:qFormat/>
    <w:uiPriority w:val="0"/>
    <w:pPr>
      <w:widowControl w:val="0"/>
      <w:spacing w:line="560" w:lineRule="exact"/>
      <w:jc w:val="both"/>
    </w:pPr>
    <w:rPr>
      <w:rFonts w:hint="default" w:ascii="Times New Roman" w:hAnsi="Times New Roman" w:eastAsia="宋体" w:cs="Times New Roman"/>
      <w:sz w:val="21"/>
      <w:szCs w:val="24"/>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2">
    <w:name w:val="heading 12"/>
    <w:basedOn w:val="1"/>
    <w:next w:val="1"/>
    <w:link w:val="156"/>
    <w:qFormat/>
    <w:uiPriority w:val="9"/>
    <w:pPr>
      <w:keepNext/>
      <w:keepLines/>
      <w:spacing w:before="360" w:after="80"/>
      <w:outlineLvl w:val="0"/>
    </w:pPr>
    <w:rPr>
      <w:rFonts w:ascii="Arial" w:hAnsi="Arial" w:eastAsia="Arial" w:cs="Arial"/>
      <w:color w:val="2E75B6" w:themeColor="accent1" w:themeShade="BF"/>
      <w:sz w:val="40"/>
      <w:szCs w:val="4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3">
    <w:name w:val="heading 23"/>
    <w:basedOn w:val="1"/>
    <w:next w:val="1"/>
    <w:link w:val="157"/>
    <w:unhideWhenUsed/>
    <w:qFormat/>
    <w:uiPriority w:val="9"/>
    <w:pPr>
      <w:keepNext/>
      <w:keepLines/>
      <w:spacing w:before="160" w:after="80"/>
      <w:outlineLvl w:val="1"/>
    </w:pPr>
    <w:rPr>
      <w:rFonts w:ascii="Arial" w:hAnsi="Arial" w:eastAsia="Arial" w:cs="Arial"/>
      <w:color w:val="2E75B6" w:themeColor="accent1" w:themeShade="BF"/>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4">
    <w:name w:val="heading 34"/>
    <w:basedOn w:val="1"/>
    <w:next w:val="1"/>
    <w:link w:val="158"/>
    <w:unhideWhenUsed/>
    <w:qFormat/>
    <w:uiPriority w:val="9"/>
    <w:pPr>
      <w:keepNext/>
      <w:keepLines/>
      <w:spacing w:before="160" w:after="80"/>
      <w:outlineLvl w:val="2"/>
    </w:pPr>
    <w:rPr>
      <w:rFonts w:ascii="Arial" w:hAnsi="Arial" w:eastAsia="Arial" w:cs="Arial"/>
      <w:color w:val="2E75B6" w:themeColor="accent1" w:themeShade="BF"/>
      <w:sz w:val="28"/>
      <w:szCs w:val="2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5">
    <w:name w:val="heading 45"/>
    <w:basedOn w:val="1"/>
    <w:next w:val="1"/>
    <w:link w:val="159"/>
    <w:unhideWhenUsed/>
    <w:qFormat/>
    <w:uiPriority w:val="9"/>
    <w:pPr>
      <w:keepNext/>
      <w:keepLines/>
      <w:spacing w:before="80" w:after="40"/>
      <w:outlineLvl w:val="3"/>
    </w:pPr>
    <w:rPr>
      <w:rFonts w:ascii="Arial" w:hAnsi="Arial" w:eastAsia="Arial" w:cs="Arial"/>
      <w:i/>
      <w:iCs/>
      <w:color w:val="2E75B6"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6">
    <w:name w:val="heading 56"/>
    <w:basedOn w:val="1"/>
    <w:next w:val="1"/>
    <w:link w:val="160"/>
    <w:unhideWhenUsed/>
    <w:qFormat/>
    <w:uiPriority w:val="9"/>
    <w:pPr>
      <w:keepNext/>
      <w:keepLines/>
      <w:spacing w:before="80" w:after="40"/>
      <w:outlineLvl w:val="4"/>
    </w:pPr>
    <w:rPr>
      <w:rFonts w:ascii="Arial" w:hAnsi="Arial" w:eastAsia="Arial" w:cs="Arial"/>
      <w:color w:val="2E75B6"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7">
    <w:name w:val="heading 67"/>
    <w:basedOn w:val="1"/>
    <w:next w:val="1"/>
    <w:link w:val="161"/>
    <w:unhideWhenUsed/>
    <w:qFormat/>
    <w:uiPriority w:val="9"/>
    <w:pPr>
      <w:keepNext/>
      <w:keepLines/>
      <w:spacing w:before="40" w:after="0"/>
      <w:outlineLvl w:val="5"/>
    </w:pPr>
    <w:rPr>
      <w:rFonts w:ascii="Arial" w:hAnsi="Arial" w:eastAsia="Arial" w:cs="Arial"/>
      <w:i/>
      <w:iCs/>
      <w:color w:val="595959" w:themeColor="text1" w:themeTint="A6"/>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8">
    <w:name w:val="heading 78"/>
    <w:basedOn w:val="1"/>
    <w:next w:val="1"/>
    <w:link w:val="162"/>
    <w:unhideWhenUsed/>
    <w:qFormat/>
    <w:uiPriority w:val="9"/>
    <w:pPr>
      <w:keepNext/>
      <w:keepLines/>
      <w:spacing w:before="40" w:after="0"/>
      <w:outlineLvl w:val="6"/>
    </w:pPr>
    <w:rPr>
      <w:rFonts w:ascii="Arial" w:hAnsi="Arial" w:eastAsia="Arial" w:cs="Arial"/>
      <w:color w:val="595959" w:themeColor="text1" w:themeTint="A6"/>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9">
    <w:name w:val="heading 89"/>
    <w:basedOn w:val="1"/>
    <w:next w:val="1"/>
    <w:link w:val="163"/>
    <w:unhideWhenUsed/>
    <w:qFormat/>
    <w:uiPriority w:val="9"/>
    <w:pPr>
      <w:keepNext/>
      <w:keepLines/>
      <w:spacing w:after="0"/>
      <w:outlineLvl w:val="7"/>
    </w:pPr>
    <w:rPr>
      <w:rFonts w:ascii="Arial" w:hAnsi="Arial" w:eastAsia="Arial" w:cs="Arial"/>
      <w:i/>
      <w:iCs/>
      <w:color w:val="262626" w:themeColor="text1" w:themeTint="D9"/>
      <w14:textFill>
        <w14:solidFill>
          <w14:schemeClr w14:val="tx1">
            <w14:lumMod w14:val="85000"/>
            <w14:lumOff w14:val="1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0">
    <w:name w:val="heading 910"/>
    <w:basedOn w:val="1"/>
    <w:next w:val="1"/>
    <w:link w:val="164"/>
    <w:unhideWhenUsed/>
    <w:qFormat/>
    <w:uiPriority w:val="9"/>
    <w:pPr>
      <w:keepNext/>
      <w:keepLines/>
      <w:spacing w:after="0"/>
      <w:outlineLvl w:val="8"/>
    </w:pPr>
    <w:rPr>
      <w:rFonts w:ascii="Arial" w:hAnsi="Arial" w:eastAsia="Arial" w:cs="Arial"/>
      <w:i/>
      <w:iCs/>
      <w:color w:val="262626" w:themeColor="text1" w:themeTint="D9"/>
      <w14:textFill>
        <w14:solidFill>
          <w14:schemeClr w14:val="tx1">
            <w14:lumMod w14:val="85000"/>
            <w14:lumOff w14:val="1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23">
    <w:name w:val="Default Paragraph Font23"/>
    <w:semiHidden/>
    <w:qFormat/>
    <w:uiPriority w:val="0"/>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21">
    <w:name w:val="Normal Table21"/>
    <w:semiHidden/>
    <w:qFormat/>
    <w:uiPriority w:val="0"/>
    <w:tblPr>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1">
    <w:name w:val="caption11"/>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2">
    <w:name w:val="annotation text12"/>
    <w:basedOn w:val="1"/>
    <w:qFormat/>
    <w:uiPriority w:val="0"/>
    <w:pPr>
      <w:jc w:val="left"/>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3">
    <w:name w:val="Body Text Indent13"/>
    <w:basedOn w:val="1"/>
    <w:unhideWhenUsed/>
    <w:qFormat/>
    <w:uiPriority w:val="0"/>
    <w:pPr>
      <w:ind w:firstLine="630"/>
    </w:pPr>
    <w:rPr>
      <w:sz w:val="2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4">
    <w:name w:val="endnote text14"/>
    <w:basedOn w:val="1"/>
    <w:link w:val="181"/>
    <w:semiHidden/>
    <w:unhideWhenUsed/>
    <w:qFormat/>
    <w:uiPriority w:val="99"/>
    <w:pPr>
      <w:spacing w:after="0" w:line="240" w:lineRule="auto"/>
    </w:pPr>
    <w:rPr>
      <w:sz w:val="20"/>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5">
    <w:name w:val="footer15"/>
    <w:basedOn w:val="1"/>
    <w:link w:val="179"/>
    <w:unhideWhenUsed/>
    <w:qFormat/>
    <w:uiPriority w:val="99"/>
    <w:pPr>
      <w:tabs>
        <w:tab w:val="center" w:pos="4844"/>
        <w:tab w:val="right" w:pos="9689"/>
      </w:tabs>
      <w:spacing w:after="0" w:line="240" w:lineRule="auto"/>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6">
    <w:name w:val="header16"/>
    <w:basedOn w:val="1"/>
    <w:link w:val="178"/>
    <w:unhideWhenUsed/>
    <w:qFormat/>
    <w:uiPriority w:val="99"/>
    <w:pPr>
      <w:tabs>
        <w:tab w:val="center" w:pos="4844"/>
        <w:tab w:val="right" w:pos="9689"/>
      </w:tabs>
      <w:spacing w:after="0" w:line="240" w:lineRule="auto"/>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7">
    <w:name w:val="Subtitle17"/>
    <w:basedOn w:val="1"/>
    <w:next w:val="1"/>
    <w:link w:val="166"/>
    <w:qFormat/>
    <w:uiPriority w:val="11"/>
    <w:rPr>
      <w:color w:val="595959" w:themeColor="text1" w:themeTint="A6"/>
      <w:spacing w:val="15"/>
      <w:sz w:val="28"/>
      <w:szCs w:val="28"/>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8">
    <w:name w:val="footnote text18"/>
    <w:basedOn w:val="1"/>
    <w:link w:val="180"/>
    <w:semiHidden/>
    <w:unhideWhenUsed/>
    <w:qFormat/>
    <w:uiPriority w:val="99"/>
    <w:pPr>
      <w:spacing w:after="0" w:line="240" w:lineRule="auto"/>
    </w:pPr>
    <w:rPr>
      <w:sz w:val="20"/>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9">
    <w:name w:val="table of figures19"/>
    <w:basedOn w:val="1"/>
    <w:next w:val="1"/>
    <w:unhideWhenUsed/>
    <w:qFormat/>
    <w:uiPriority w:val="99"/>
    <w:pPr>
      <w:spacing w:after="0" w:afterAutospacing="0"/>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20">
    <w:name w:val="Title20"/>
    <w:basedOn w:val="1"/>
    <w:next w:val="1"/>
    <w:link w:val="165"/>
    <w:qFormat/>
    <w:uiPriority w:val="10"/>
    <w:pPr>
      <w:spacing w:after="80" w:line="240" w:lineRule="auto"/>
      <w:contextualSpacing/>
    </w:pPr>
    <w:rPr>
      <w:rFonts w:ascii="Arial" w:hAnsi="Arial" w:eastAsia="Arial" w:cs="Arial"/>
      <w:spacing w:val="-10"/>
      <w:sz w:val="56"/>
      <w:szCs w:val="56"/>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22">
    <w:name w:val="Table Grid22"/>
    <w:basedOn w:val="21"/>
    <w:qFormat/>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24">
    <w:name w:val="Strong24"/>
    <w:basedOn w:val="23"/>
    <w:qFormat/>
    <w:uiPriority w:val="22"/>
    <w:rPr>
      <w:b/>
      <w:bCs/>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25">
    <w:name w:val="endnote reference25"/>
    <w:basedOn w:val="23"/>
    <w:semiHidden/>
    <w:unhideWhenUsed/>
    <w:qFormat/>
    <w:uiPriority w:val="99"/>
    <w:rPr>
      <w:vertAlign w:val="superscript"/>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26">
    <w:name w:val="FollowedHyperlink26"/>
    <w:basedOn w:val="23"/>
    <w:semiHidden/>
    <w:unhideWhenUsed/>
    <w:qFormat/>
    <w:uiPriority w:val="99"/>
    <w:rPr>
      <w:color w:val="954F72" w:themeColor="followedHyperlink"/>
      <w:u w:val="single"/>
      <w14:textFill>
        <w14:solidFill>
          <w14:schemeClr w14:val="folHlink"/>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27">
    <w:name w:val="Emphasis27"/>
    <w:basedOn w:val="23"/>
    <w:qFormat/>
    <w:uiPriority w:val="20"/>
    <w:rPr>
      <w:i/>
      <w:iCs/>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28">
    <w:name w:val="Hyperlink28"/>
    <w:basedOn w:val="23"/>
    <w:unhideWhenUsed/>
    <w:qFormat/>
    <w:uiPriority w:val="99"/>
    <w:rPr>
      <w:color w:val="0563C1" w:themeColor="hyperlink"/>
      <w:u w:val="single"/>
      <w14:textFill>
        <w14:solidFill>
          <w14:schemeClr w14:val="hlink"/>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29">
    <w:name w:val="annotation reference29"/>
    <w:qFormat/>
    <w:uiPriority w:val="0"/>
    <w:rPr>
      <w:sz w:val="21"/>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30">
    <w:name w:val="footnote reference30"/>
    <w:basedOn w:val="23"/>
    <w:semiHidden/>
    <w:unhideWhenUsed/>
    <w:qFormat/>
    <w:uiPriority w:val="99"/>
    <w:rPr>
      <w:vertAlign w:val="superscript"/>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1">
    <w:name w:val="Table Grid Light31"/>
    <w:basedOn w:val="21"/>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2">
    <w:name w:val="Plain Table 132"/>
    <w:basedOn w:val="21"/>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themeColor="text1" w:themeTint="0D" w:fill="F1F1F1" w:themeFill="text1" w:themeFillTint="0D"/>
      </w:tcPr>
    </w:tblStylePr>
    <w:tblStylePr w:type="band2Vert"/>
    <w:tblStylePr w:type="band1Horz">
      <w:tcPr>
        <w:shd w:val="clear" w:color="F1F1F1" w:themeColor="text1" w:themeTint="0D" w:fill="F1F1F1" w:themeFill="text1" w:themeFillTint="0D"/>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3">
    <w:name w:val="Plain Table 233"/>
    <w:basedOn w:val="21"/>
    <w:qFormat/>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top w:w="0" w:type="dxa"/>
        <w:left w:w="108" w:type="dxa"/>
        <w:bottom w:w="0" w:type="dxa"/>
        <w:right w:w="108"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4">
    <w:name w:val="Plain Table 334"/>
    <w:basedOn w:val="21"/>
    <w:qFormat/>
    <w:uiPriority w:val="99"/>
    <w:pPr>
      <w:spacing w:after="0" w:line="240" w:lineRule="auto"/>
    </w:p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5">
    <w:name w:val="Plain Table 435"/>
    <w:basedOn w:val="21"/>
    <w:qFormat/>
    <w:uiPriority w:val="99"/>
    <w:pPr>
      <w:spacing w:after="0" w:line="240" w:lineRule="auto"/>
    </w:p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6">
    <w:name w:val="Plain Table 536"/>
    <w:basedOn w:val="21"/>
    <w:qFormat/>
    <w:uiPriority w:val="99"/>
    <w:pPr>
      <w:spacing w:after="0" w:line="240" w:lineRule="auto"/>
    </w:pPr>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7">
    <w:name w:val="Grid Table 1 Light37"/>
    <w:basedOn w:val="21"/>
    <w:qFormat/>
    <w:uiPriority w:val="99"/>
    <w:pPr>
      <w:spacing w:after="0" w:line="240" w:lineRule="auto"/>
    </w:pPr>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8">
    <w:name w:val="Grid Table 1 Light - Accent 138"/>
    <w:basedOn w:val="21"/>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b/>
        <w:color w:val="404040"/>
      </w:rPr>
      <w:tcPr>
        <w:tcBorders>
          <w:bottom w:val="single" w:color="9FC4E6"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9">
    <w:name w:val="Grid Table 1 Light - Accent 239"/>
    <w:basedOn w:val="21"/>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b/>
        <w:color w:val="404040"/>
      </w:rPr>
      <w:tcPr>
        <w:tcBorders>
          <w:bottom w:val="single" w:color="F4B38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0">
    <w:name w:val="Grid Table 1 Light - Accent 340"/>
    <w:basedOn w:val="21"/>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b/>
        <w:color w:val="404040"/>
      </w:rPr>
      <w:tcPr>
        <w:tcBorders>
          <w:bottom w:val="single" w:color="CACACA"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1">
    <w:name w:val="Grid Table 1 Light - Accent 441"/>
    <w:basedOn w:val="21"/>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b/>
        <w:color w:val="404040"/>
      </w:rPr>
      <w:tcPr>
        <w:tcBorders>
          <w:bottom w:val="single" w:color="FFDA69"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2">
    <w:name w:val="Grid Table 1 Light - Accent 542"/>
    <w:basedOn w:val="21"/>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b/>
        <w:color w:val="404040"/>
      </w:rPr>
      <w:tcPr>
        <w:tcBorders>
          <w:bottom w:val="single" w:color="91ACDC"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3">
    <w:name w:val="Grid Table 1 Light - Accent 643"/>
    <w:basedOn w:val="21"/>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b/>
        <w:color w:val="404040"/>
      </w:rPr>
      <w:tcPr>
        <w:tcBorders>
          <w:bottom w:val="single" w:color="AAD190"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4">
    <w:name w:val="Grid Table 244"/>
    <w:basedOn w:val="21"/>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5">
    <w:name w:val="Grid Table 2 - Accent 145"/>
    <w:basedOn w:val="21"/>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single" w:color="68A3D8" w:themeColor="accent1" w:themeTint="EA" w:sz="12" w:space="0"/>
          <w:right w:val="nil"/>
        </w:tcBorders>
        <w:shd w:val="clear" w:color="FFFFFF" w:fill="auto"/>
      </w:tcPr>
    </w:tblStylePr>
    <w:tblStylePr w:type="lastRow">
      <w:rPr>
        <w:b/>
        <w:color w:val="404040"/>
      </w:rPr>
      <w:tcPr>
        <w:tcBorders>
          <w:top w:val="single" w:color="68A3D8"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DEAF6" w:themeColor="accent1" w:themeTint="34" w:fill="DDEAF6" w:themeFill="accent1" w:themeFillTint="34"/>
      </w:tcPr>
    </w:tblStylePr>
    <w:tblStylePr w:type="band2Vert"/>
    <w:tblStylePr w:type="band1Horz">
      <w:rPr>
        <w:rFonts w:ascii="Arial" w:hAnsi="Arial"/>
        <w:color w:val="404040"/>
        <w:sz w:val="22"/>
      </w:rPr>
      <w:tcPr>
        <w:shd w:val="clear" w:color="DDEAF6" w:themeColor="accent1" w:themeTint="34" w:fill="DDEAF6" w:themeFill="accent1"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6">
    <w:name w:val="Grid Table 2 - Accent 246"/>
    <w:basedOn w:val="21"/>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single" w:color="F4B285" w:themeColor="accent2" w:themeTint="97" w:sz="12" w:space="0"/>
          <w:right w:val="nil"/>
        </w:tcBorders>
        <w:shd w:val="clear" w:color="FFFFFF" w:fill="auto"/>
      </w:tcPr>
    </w:tblStylePr>
    <w:tblStylePr w:type="lastRow">
      <w:rPr>
        <w:b/>
        <w:color w:val="404040"/>
      </w:rPr>
      <w:tcPr>
        <w:tcBorders>
          <w:top w:val="single" w:color="F4B28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themeColor="accent2" w:themeTint="32" w:fill="FBE5D6" w:themeFill="accent2" w:themeFillTint="32"/>
      </w:tcPr>
    </w:tblStylePr>
    <w:tblStylePr w:type="band2Vert"/>
    <w:tblStylePr w:type="band1Horz">
      <w:rPr>
        <w:rFonts w:ascii="Arial" w:hAnsi="Arial"/>
        <w:color w:val="404040"/>
        <w:sz w:val="22"/>
      </w:rPr>
      <w:tcPr>
        <w:shd w:val="clear" w:color="FBE5D6" w:themeColor="accent2" w:themeTint="32" w:fill="FBE5D6" w:themeFill="accent2" w:themeFillTint="32"/>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7">
    <w:name w:val="Grid Table 2 - Accent 347"/>
    <w:basedOn w:val="21"/>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single" w:color="A5A5A5" w:themeColor="accent3" w:themeTint="FE" w:sz="12" w:space="0"/>
          <w:right w:val="nil"/>
        </w:tcBorders>
        <w:shd w:val="clear" w:color="FFFFFF" w:fill="auto"/>
      </w:tcPr>
    </w:tblStylePr>
    <w:tblStylePr w:type="lastRow">
      <w:rPr>
        <w:b/>
        <w:color w:val="404040"/>
      </w:rPr>
      <w:tcPr>
        <w:tcBorders>
          <w:top w:val="single" w:color="A5A5A5"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themeColor="accent3" w:themeTint="34" w:fill="ECECEC" w:themeFill="accent3" w:themeFillTint="34"/>
      </w:tcPr>
    </w:tblStylePr>
    <w:tblStylePr w:type="band2Vert"/>
    <w:tblStylePr w:type="band1Horz">
      <w:rPr>
        <w:rFonts w:ascii="Arial" w:hAnsi="Arial"/>
        <w:color w:val="404040"/>
        <w:sz w:val="22"/>
      </w:rPr>
      <w:tcPr>
        <w:shd w:val="clear" w:color="ECECEC" w:themeColor="accent3" w:themeTint="34" w:fill="ECECEC" w:themeFill="accent3"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8">
    <w:name w:val="Grid Table 2 - Accent 448"/>
    <w:basedOn w:val="21"/>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single" w:color="FFD864" w:themeColor="accent4" w:themeTint="9A" w:sz="12" w:space="0"/>
          <w:right w:val="nil"/>
        </w:tcBorders>
        <w:shd w:val="clear" w:color="FFFFFF" w:fill="auto"/>
      </w:tcPr>
    </w:tblStylePr>
    <w:tblStylePr w:type="lastRow">
      <w:rPr>
        <w:b/>
        <w:color w:val="404040"/>
      </w:rPr>
      <w:tcPr>
        <w:tcBorders>
          <w:top w:val="single" w:color="FFD864"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themeColor="accent4" w:themeTint="34" w:fill="FEF2CA" w:themeFill="accent4" w:themeFillTint="34"/>
      </w:tcPr>
    </w:tblStylePr>
    <w:tblStylePr w:type="band2Vert"/>
    <w:tblStylePr w:type="band1Horz">
      <w:rPr>
        <w:rFonts w:ascii="Arial" w:hAnsi="Arial"/>
        <w:color w:val="404040"/>
        <w:sz w:val="22"/>
      </w:rPr>
      <w:tcPr>
        <w:shd w:val="clear" w:color="FEF2CA" w:themeColor="accent4" w:themeTint="34" w:fill="FEF2CA" w:themeFill="accent4"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9">
    <w:name w:val="Grid Table 2 - Accent 549"/>
    <w:basedOn w:val="21"/>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single" w:color="4472C4" w:themeColor="accent5" w:sz="12" w:space="0"/>
          <w:right w:val="nil"/>
        </w:tcBorders>
        <w:shd w:val="clear" w:color="FFFFFF" w:fill="auto"/>
      </w:tcPr>
    </w:tblStylePr>
    <w:tblStylePr w:type="lastRow">
      <w:rPr>
        <w:b/>
        <w:color w:val="404040"/>
      </w:rPr>
      <w:tcPr>
        <w:tcBorders>
          <w:top w:val="single" w:color="4472C4"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themeColor="accent5" w:themeTint="34" w:fill="D8E2F2" w:themeFill="accent5" w:themeFillTint="34"/>
      </w:tcPr>
    </w:tblStylePr>
    <w:tblStylePr w:type="band2Vert"/>
    <w:tblStylePr w:type="band1Horz">
      <w:rPr>
        <w:rFonts w:ascii="Arial" w:hAnsi="Arial"/>
        <w:color w:val="404040"/>
        <w:sz w:val="22"/>
      </w:rPr>
      <w:tcPr>
        <w:shd w:val="clear" w:color="D8E2F2" w:themeColor="accent5" w:themeTint="34" w:fill="D8E2F2" w:themeFill="accent5"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0">
    <w:name w:val="Grid Table 2 - Accent 650"/>
    <w:basedOn w:val="21"/>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single" w:color="70AD47" w:themeColor="accent6" w:sz="12" w:space="0"/>
          <w:right w:val="nil"/>
        </w:tcBorders>
        <w:shd w:val="clear" w:color="FFFFFF" w:fill="auto"/>
      </w:tcPr>
    </w:tblStylePr>
    <w:tblStylePr w:type="lastRow">
      <w:rPr>
        <w:b/>
        <w:color w:val="404040"/>
      </w:rPr>
      <w:tcPr>
        <w:tcBorders>
          <w:top w:val="single" w:color="70AD47"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themeColor="accent6" w:themeTint="34" w:fill="E1EFD8" w:themeFill="accent6" w:themeFillTint="34"/>
      </w:tcPr>
    </w:tblStylePr>
    <w:tblStylePr w:type="band2Vert"/>
    <w:tblStylePr w:type="band1Horz">
      <w:rPr>
        <w:rFonts w:ascii="Arial" w:hAnsi="Arial"/>
        <w:color w:val="404040"/>
        <w:sz w:val="22"/>
      </w:rPr>
      <w:tcPr>
        <w:shd w:val="clear" w:color="E1EFD8" w:themeColor="accent6" w:themeTint="34" w:fill="E1EFD8" w:themeFill="accent6"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1">
    <w:name w:val="Grid Table 351"/>
    <w:basedOn w:val="21"/>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2">
    <w:name w:val="Grid Table 3 - Accent 152"/>
    <w:basedOn w:val="21"/>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DEAF6" w:themeColor="accent1" w:themeTint="34" w:fill="DDEAF6" w:themeFill="accent1" w:themeFillTint="34"/>
      </w:tcPr>
    </w:tblStylePr>
    <w:tblStylePr w:type="band2Vert"/>
    <w:tblStylePr w:type="band1Horz">
      <w:rPr>
        <w:rFonts w:ascii="Arial" w:hAnsi="Arial"/>
        <w:color w:val="404040"/>
        <w:sz w:val="22"/>
      </w:rPr>
      <w:tcPr>
        <w:shd w:val="clear" w:color="DDEAF6" w:themeColor="accent1" w:themeTint="34" w:fill="DDEAF6" w:themeFill="accent1"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3">
    <w:name w:val="Grid Table 3 - Accent 253"/>
    <w:basedOn w:val="21"/>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BE5D6" w:themeColor="accent2" w:themeTint="32" w:fill="FBE5D6" w:themeFill="accent2" w:themeFillTint="32"/>
      </w:tcPr>
    </w:tblStylePr>
    <w:tblStylePr w:type="band2Vert"/>
    <w:tblStylePr w:type="band1Horz">
      <w:rPr>
        <w:rFonts w:ascii="Arial" w:hAnsi="Arial"/>
        <w:color w:val="404040"/>
        <w:sz w:val="22"/>
      </w:rPr>
      <w:tcPr>
        <w:shd w:val="clear" w:color="FBE5D6" w:themeColor="accent2" w:themeTint="32" w:fill="FBE5D6" w:themeFill="accent2" w:themeFillTint="32"/>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4">
    <w:name w:val="Grid Table 3 - Accent 354"/>
    <w:basedOn w:val="21"/>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CECEC" w:themeColor="accent3" w:themeTint="34" w:fill="ECECEC" w:themeFill="accent3" w:themeFillTint="34"/>
      </w:tcPr>
    </w:tblStylePr>
    <w:tblStylePr w:type="band2Vert"/>
    <w:tblStylePr w:type="band1Horz">
      <w:rPr>
        <w:rFonts w:ascii="Arial" w:hAnsi="Arial"/>
        <w:color w:val="404040"/>
        <w:sz w:val="22"/>
      </w:rPr>
      <w:tcPr>
        <w:shd w:val="clear" w:color="ECECEC" w:themeColor="accent3" w:themeTint="34" w:fill="ECECEC" w:themeFill="accent3"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5">
    <w:name w:val="Grid Table 3 - Accent 455"/>
    <w:basedOn w:val="21"/>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EF2CA" w:themeColor="accent4" w:themeTint="34" w:fill="FEF2CA" w:themeFill="accent4" w:themeFillTint="34"/>
      </w:tcPr>
    </w:tblStylePr>
    <w:tblStylePr w:type="band2Vert"/>
    <w:tblStylePr w:type="band1Horz">
      <w:rPr>
        <w:rFonts w:ascii="Arial" w:hAnsi="Arial"/>
        <w:color w:val="404040"/>
        <w:sz w:val="22"/>
      </w:rPr>
      <w:tcPr>
        <w:shd w:val="clear" w:color="FEF2CA" w:themeColor="accent4" w:themeTint="34" w:fill="FEF2CA" w:themeFill="accent4"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6">
    <w:name w:val="Grid Table 3 - Accent 556"/>
    <w:basedOn w:val="21"/>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8E2F2" w:themeColor="accent5" w:themeTint="34" w:fill="D8E2F2" w:themeFill="accent5" w:themeFillTint="34"/>
      </w:tcPr>
    </w:tblStylePr>
    <w:tblStylePr w:type="band2Vert"/>
    <w:tblStylePr w:type="band1Horz">
      <w:rPr>
        <w:rFonts w:ascii="Arial" w:hAnsi="Arial"/>
        <w:color w:val="404040"/>
        <w:sz w:val="22"/>
      </w:rPr>
      <w:tcPr>
        <w:shd w:val="clear" w:color="D8E2F2" w:themeColor="accent5" w:themeTint="34" w:fill="D8E2F2" w:themeFill="accent5"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7">
    <w:name w:val="Grid Table 3 - Accent 657"/>
    <w:basedOn w:val="21"/>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1EFD8" w:themeColor="accent6" w:themeTint="34" w:fill="E1EFD8" w:themeFill="accent6" w:themeFillTint="34"/>
      </w:tcPr>
    </w:tblStylePr>
    <w:tblStylePr w:type="band2Vert"/>
    <w:tblStylePr w:type="band1Horz">
      <w:rPr>
        <w:rFonts w:ascii="Arial" w:hAnsi="Arial"/>
        <w:color w:val="404040"/>
        <w:sz w:val="22"/>
      </w:rPr>
      <w:tcPr>
        <w:shd w:val="clear" w:color="E1EFD8" w:themeColor="accent6" w:themeTint="34" w:fill="E1EFD8" w:themeFill="accent6"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8">
    <w:name w:val="Grid Table 458"/>
    <w:basedOn w:val="21"/>
    <w:qFormat/>
    <w:uiPriority w:val="59"/>
    <w:pPr>
      <w:spacing w:after="0" w:line="240" w:lineRule="auto"/>
    </w:pPr>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000000" w:themeFill="text1"/>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9">
    <w:name w:val="Grid Table 4 - Accent 159"/>
    <w:basedOn w:val="21"/>
    <w:qFormat/>
    <w:uiPriority w:val="5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firstRow">
      <w:rPr>
        <w:rFonts w:ascii="Arial" w:hAnsi="Arial"/>
        <w:b/>
        <w:color w:val="FFFFFF"/>
        <w:sz w:val="22"/>
      </w:rPr>
      <w:tcPr>
        <w:tcBorders>
          <w:top w:val="single" w:color="68A3D8" w:themeColor="accent1" w:themeTint="EA" w:sz="4" w:space="0"/>
          <w:left w:val="single" w:color="68A3D8" w:themeColor="accent1" w:themeTint="EA" w:sz="4" w:space="0"/>
          <w:bottom w:val="single" w:color="68A3D8" w:themeColor="accent1" w:themeTint="EA" w:sz="4" w:space="0"/>
          <w:right w:val="single" w:color="68A3D8" w:themeColor="accent1" w:themeTint="EA" w:sz="4" w:space="0"/>
        </w:tcBorders>
        <w:shd w:val="clear" w:color="68A3D8" w:themeColor="accent1" w:themeTint="EA" w:fill="68A3D8" w:themeFill="accent1" w:themeFillTint="EA"/>
      </w:tcPr>
    </w:tblStylePr>
    <w:tblStylePr w:type="lastRow">
      <w:rPr>
        <w:b/>
        <w:color w:val="404040"/>
      </w:rPr>
      <w:tcPr>
        <w:tcBorders>
          <w:top w:val="single" w:color="68A3D8"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EEBF6" w:themeColor="accent1" w:themeTint="32" w:fill="DEEBF6" w:themeFill="accent1" w:themeFillTint="32"/>
      </w:tcPr>
    </w:tblStylePr>
    <w:tblStylePr w:type="band2Vert"/>
    <w:tblStylePr w:type="band1Horz">
      <w:rPr>
        <w:rFonts w:ascii="Arial" w:hAnsi="Arial"/>
        <w:color w:val="404040"/>
        <w:sz w:val="22"/>
      </w:rPr>
      <w:tcPr>
        <w:shd w:val="clear" w:color="DEEBF6" w:themeColor="accent1" w:themeTint="32" w:fill="DEEBF6" w:themeFill="accent1" w:themeFillTint="32"/>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0">
    <w:name w:val="Grid Table 4 - Accent 260"/>
    <w:basedOn w:val="21"/>
    <w:qFormat/>
    <w:uiPriority w:val="5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firstRow">
      <w:rPr>
        <w:rFonts w:ascii="Arial" w:hAnsi="Arial"/>
        <w:b/>
        <w:color w:val="FFFFFF"/>
        <w:sz w:val="22"/>
      </w:rPr>
      <w:tcPr>
        <w:tc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cBorders>
        <w:shd w:val="clear" w:color="F4B285" w:themeColor="accent2" w:themeTint="97" w:fill="F4B285" w:themeFill="accent2" w:themeFillTint="97"/>
      </w:tcPr>
    </w:tblStylePr>
    <w:tblStylePr w:type="lastRow">
      <w:rPr>
        <w:b/>
        <w:color w:val="404040"/>
      </w:rPr>
      <w:tcPr>
        <w:tcBorders>
          <w:top w:val="single" w:color="F4B28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themeColor="accent2" w:themeTint="32" w:fill="FBE5D6" w:themeFill="accent2" w:themeFillTint="32"/>
      </w:tcPr>
    </w:tblStylePr>
    <w:tblStylePr w:type="band2Vert"/>
    <w:tblStylePr w:type="band1Horz">
      <w:rPr>
        <w:rFonts w:ascii="Arial" w:hAnsi="Arial"/>
        <w:color w:val="404040"/>
        <w:sz w:val="22"/>
      </w:rPr>
      <w:tcPr>
        <w:shd w:val="clear" w:color="FBE5D6" w:themeColor="accent2" w:themeTint="32" w:fill="FBE5D6" w:themeFill="accent2" w:themeFillTint="32"/>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1">
    <w:name w:val="Grid Table 4 - Accent 361"/>
    <w:basedOn w:val="21"/>
    <w:qFormat/>
    <w:uiPriority w:val="5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firstRow">
      <w:rPr>
        <w:rFonts w:ascii="Arial" w:hAnsi="Arial"/>
        <w:b/>
        <w:color w:val="FFFFFF"/>
        <w:sz w:val="22"/>
      </w:rPr>
      <w:tcPr>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shd w:val="clear" w:color="A5A5A5" w:themeColor="accent3" w:themeTint="FE" w:fill="A5A5A5" w:themeFill="accent3" w:themeFillTint="FE"/>
      </w:tcPr>
    </w:tblStylePr>
    <w:tblStylePr w:type="lastRow">
      <w:rPr>
        <w:b/>
        <w:color w:val="404040"/>
      </w:rPr>
      <w:tcPr>
        <w:tcBorders>
          <w:top w:val="single" w:color="A5A5A5"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themeColor="accent3" w:themeTint="34" w:fill="ECECEC" w:themeFill="accent3" w:themeFillTint="34"/>
      </w:tcPr>
    </w:tblStylePr>
    <w:tblStylePr w:type="band2Vert"/>
    <w:tblStylePr w:type="band1Horz">
      <w:rPr>
        <w:rFonts w:ascii="Arial" w:hAnsi="Arial"/>
        <w:color w:val="404040"/>
        <w:sz w:val="22"/>
      </w:rPr>
      <w:tcPr>
        <w:shd w:val="clear" w:color="ECECEC" w:themeColor="accent3" w:themeTint="34" w:fill="ECECEC" w:themeFill="accent3"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2">
    <w:name w:val="Grid Table 4 - Accent 462"/>
    <w:basedOn w:val="21"/>
    <w:qFormat/>
    <w:uiPriority w:val="5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insideV w:val="single" w:color="FFDB6E" w:themeColor="accent4" w:themeTint="90" w:sz="4" w:space="0"/>
      </w:tblBorders>
    </w:tblPr>
    <w:tblStylePr w:type="firstRow">
      <w:rPr>
        <w:rFonts w:ascii="Arial" w:hAnsi="Arial"/>
        <w:b/>
        <w:color w:val="FFFFFF"/>
        <w:sz w:val="22"/>
      </w:rPr>
      <w:tcPr>
        <w:tc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cBorders>
        <w:shd w:val="clear" w:color="FFD864" w:themeColor="accent4" w:themeTint="9A" w:fill="FFD864" w:themeFill="accent4" w:themeFillTint="9A"/>
      </w:tcPr>
    </w:tblStylePr>
    <w:tblStylePr w:type="lastRow">
      <w:rPr>
        <w:b/>
        <w:color w:val="404040"/>
      </w:rPr>
      <w:tcPr>
        <w:tcBorders>
          <w:top w:val="single" w:color="FFD864"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themeColor="accent4" w:themeTint="34" w:fill="FEF2CA" w:themeFill="accent4" w:themeFillTint="34"/>
      </w:tcPr>
    </w:tblStylePr>
    <w:tblStylePr w:type="band2Vert"/>
    <w:tblStylePr w:type="band1Horz">
      <w:rPr>
        <w:rFonts w:ascii="Arial" w:hAnsi="Arial"/>
        <w:color w:val="404040"/>
        <w:sz w:val="22"/>
      </w:rPr>
      <w:tcPr>
        <w:shd w:val="clear" w:color="FEF2CA" w:themeColor="accent4" w:themeTint="34" w:fill="FEF2CA" w:themeFill="accent4"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3">
    <w:name w:val="Grid Table 4 - Accent 563"/>
    <w:basedOn w:val="21"/>
    <w:qFormat/>
    <w:uiPriority w:val="5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FFFFFF"/>
        <w:sz w:val="22"/>
      </w:r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shd w:val="clear" w:color="4472C4" w:themeColor="accent5" w:fill="4472C4" w:themeFill="accent5"/>
      </w:tcPr>
    </w:tblStylePr>
    <w:tblStylePr w:type="lastRow">
      <w:rPr>
        <w:b/>
        <w:color w:val="404040"/>
      </w:rPr>
      <w:tcPr>
        <w:tcBorders>
          <w:top w:val="single" w:color="4472C4"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themeColor="accent5" w:themeTint="34" w:fill="D8E2F2" w:themeFill="accent5" w:themeFillTint="34"/>
      </w:tcPr>
    </w:tblStylePr>
    <w:tblStylePr w:type="band2Vert"/>
    <w:tblStylePr w:type="band1Horz">
      <w:rPr>
        <w:rFonts w:ascii="Arial" w:hAnsi="Arial"/>
        <w:color w:val="404040"/>
        <w:sz w:val="22"/>
      </w:rPr>
      <w:tcPr>
        <w:shd w:val="clear" w:color="D8E2F2" w:themeColor="accent5" w:themeTint="34" w:fill="D8E2F2" w:themeFill="accent5"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4">
    <w:name w:val="Grid Table 4 - Accent 664"/>
    <w:basedOn w:val="21"/>
    <w:qFormat/>
    <w:uiPriority w:val="5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FFFFFF"/>
        <w:sz w:val="22"/>
      </w:r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70AD47" w:themeColor="accent6" w:fill="70AD47" w:themeFill="accent6"/>
      </w:tcPr>
    </w:tblStylePr>
    <w:tblStylePr w:type="lastRow">
      <w:rPr>
        <w:b/>
        <w:color w:val="404040"/>
      </w:rPr>
      <w:tcPr>
        <w:tcBorders>
          <w:top w:val="single" w:color="70AD47"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themeColor="accent6" w:themeTint="34" w:fill="E1EFD8" w:themeFill="accent6" w:themeFillTint="34"/>
      </w:tcPr>
    </w:tblStylePr>
    <w:tblStylePr w:type="band2Vert"/>
    <w:tblStylePr w:type="band1Horz">
      <w:rPr>
        <w:rFonts w:ascii="Arial" w:hAnsi="Arial"/>
        <w:color w:val="404040"/>
        <w:sz w:val="22"/>
      </w:rPr>
      <w:tcPr>
        <w:shd w:val="clear" w:color="E1EFD8" w:themeColor="accent6" w:themeTint="34" w:fill="E1EFD8" w:themeFill="accent6"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5">
    <w:name w:val="Grid Table 5 Dark65"/>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themeColor="text1" w:fill="000000" w:themeFill="text1"/>
      </w:tcPr>
    </w:tblStylePr>
    <w:tblStylePr w:type="lastRow">
      <w:rPr>
        <w:rFonts w:ascii="Arial" w:hAnsi="Arial"/>
        <w:b/>
        <w:color w:val="FFFFFF"/>
        <w:sz w:val="22"/>
      </w:rPr>
      <w:tcPr>
        <w:tcBorders>
          <w:top w:val="single" w:color="FFFFFF" w:themeColor="light1" w:sz="4" w:space="0"/>
        </w:tcBorders>
        <w:shd w:val="clear" w:color="000000" w:themeColor="text1" w:fill="000000" w:themeFill="text1"/>
      </w:tcPr>
    </w:tblStylePr>
    <w:tblStylePr w:type="firstCol">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band1Vert">
      <w:tcPr>
        <w:shd w:val="clear" w:color="898989" w:themeColor="text1" w:themeTint="75" w:fill="898989" w:themeFill="text1" w:themeFillTint="75"/>
      </w:tcPr>
    </w:tblStylePr>
    <w:tblStylePr w:type="band2Vert"/>
    <w:tblStylePr w:type="band1Horz">
      <w:tcPr>
        <w:shd w:val="clear" w:color="898989" w:themeColor="text1" w:themeTint="75" w:fill="898989" w:themeFill="text1"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6">
    <w:name w:val="Grid Table 5 Dark- Accent 166"/>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5B9BD5" w:themeColor="accent1" w:fill="5B9BD5" w:themeFill="accent1"/>
      </w:tcPr>
    </w:tblStylePr>
    <w:tblStylePr w:type="lastRow">
      <w:rPr>
        <w:rFonts w:ascii="Arial" w:hAnsi="Arial"/>
        <w:b/>
        <w:color w:val="FFFFFF"/>
        <w:sz w:val="22"/>
      </w:rPr>
      <w:tcPr>
        <w:tcBorders>
          <w:top w:val="single" w:color="FFFFFF" w:themeColor="light1" w:sz="4" w:space="0"/>
        </w:tcBorders>
        <w:shd w:val="clear" w:color="5B9BD5" w:themeColor="accent1" w:fill="5B9BD5" w:themeFill="accent1"/>
      </w:tcPr>
    </w:tblStylePr>
    <w:tblStylePr w:type="firstCol">
      <w:rPr>
        <w:rFonts w:ascii="Arial" w:hAnsi="Arial"/>
        <w:b/>
        <w:color w:val="FFFFFF"/>
        <w:sz w:val="22"/>
      </w:rPr>
      <w:tcPr>
        <w:shd w:val="clear" w:color="5B9BD5" w:themeColor="accent1" w:fill="5B9BD5" w:themeFill="accent1"/>
      </w:tcPr>
    </w:tblStylePr>
    <w:tblStylePr w:type="lastCol">
      <w:rPr>
        <w:rFonts w:ascii="Arial" w:hAnsi="Arial"/>
        <w:b/>
        <w:color w:val="FFFFFF"/>
        <w:sz w:val="22"/>
      </w:rPr>
      <w:tcPr>
        <w:shd w:val="clear" w:color="5B9BD5" w:themeColor="accent1" w:fill="5B9BD5" w:themeFill="accent1"/>
      </w:tcPr>
    </w:tblStylePr>
    <w:tblStylePr w:type="band1Vert">
      <w:tcPr>
        <w:shd w:val="clear" w:color="B3D1EB" w:themeColor="accent1" w:themeTint="75" w:fill="B3D1EB" w:themeFill="accent1" w:themeFillTint="75"/>
      </w:tcPr>
    </w:tblStylePr>
    <w:tblStylePr w:type="band2Vert"/>
    <w:tblStylePr w:type="band1Horz">
      <w:tcPr>
        <w:shd w:val="clear" w:color="B3D1EB" w:themeColor="accent1" w:themeTint="75" w:fill="B3D1EB" w:themeFill="accent1"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7">
    <w:name w:val="Grid Table 5 Dark - Accent 267"/>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ED7D31" w:themeColor="accent2" w:fill="ED7D31" w:themeFill="accent2"/>
      </w:tcPr>
    </w:tblStylePr>
    <w:tblStylePr w:type="lastRow">
      <w:rPr>
        <w:rFonts w:ascii="Arial" w:hAnsi="Arial"/>
        <w:b/>
        <w:color w:val="FFFFFF"/>
        <w:sz w:val="22"/>
      </w:rPr>
      <w:tcPr>
        <w:tcBorders>
          <w:top w:val="single" w:color="FFFFFF" w:themeColor="light1" w:sz="4" w:space="0"/>
        </w:tcBorders>
        <w:shd w:val="clear" w:color="ED7D31" w:themeColor="accent2" w:fill="ED7D31" w:themeFill="accent2"/>
      </w:tcPr>
    </w:tblStylePr>
    <w:tblStylePr w:type="firstCol">
      <w:rPr>
        <w:rFonts w:ascii="Arial" w:hAnsi="Arial"/>
        <w:b/>
        <w:color w:val="FFFFFF"/>
        <w:sz w:val="22"/>
      </w:rPr>
      <w:tcPr>
        <w:shd w:val="clear" w:color="ED7D31" w:themeColor="accent2" w:fill="ED7D31" w:themeFill="accent2"/>
      </w:tcPr>
    </w:tblStylePr>
    <w:tblStylePr w:type="lastCol">
      <w:rPr>
        <w:rFonts w:ascii="Arial" w:hAnsi="Arial"/>
        <w:b/>
        <w:color w:val="FFFFFF"/>
        <w:sz w:val="22"/>
      </w:rPr>
      <w:tcPr>
        <w:shd w:val="clear" w:color="ED7D31" w:themeColor="accent2" w:fill="ED7D31" w:themeFill="accent2"/>
      </w:tcPr>
    </w:tblStylePr>
    <w:tblStylePr w:type="band1Vert">
      <w:tcPr>
        <w:shd w:val="clear" w:color="F6C3A0" w:themeColor="accent2" w:themeTint="75" w:fill="F6C3A0" w:themeFill="accent2" w:themeFillTint="75"/>
      </w:tcPr>
    </w:tblStylePr>
    <w:tblStylePr w:type="band2Vert"/>
    <w:tblStylePr w:type="band1Horz">
      <w:tcPr>
        <w:shd w:val="clear" w:color="F6C3A0" w:themeColor="accent2" w:themeTint="75" w:fill="F6C3A0" w:themeFill="accent2"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8">
    <w:name w:val="Grid Table 5 Dark - Accent 368"/>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5A5A5" w:themeColor="accent3" w:fill="A5A5A5" w:themeFill="accent3"/>
      </w:tcPr>
    </w:tblStylePr>
    <w:tblStylePr w:type="lastRow">
      <w:rPr>
        <w:rFonts w:ascii="Arial" w:hAnsi="Arial"/>
        <w:b/>
        <w:color w:val="FFFFFF"/>
        <w:sz w:val="22"/>
      </w:rPr>
      <w:tcPr>
        <w:tcBorders>
          <w:top w:val="single" w:color="FFFFFF" w:themeColor="light1" w:sz="4" w:space="0"/>
        </w:tcBorders>
        <w:shd w:val="clear" w:color="A5A5A5" w:themeColor="accent3" w:fill="A5A5A5" w:themeFill="accent3"/>
      </w:tcPr>
    </w:tblStylePr>
    <w:tblStylePr w:type="firstCol">
      <w:rPr>
        <w:rFonts w:ascii="Arial" w:hAnsi="Arial"/>
        <w:b/>
        <w:color w:val="FFFFFF"/>
        <w:sz w:val="22"/>
      </w:rPr>
      <w:tcPr>
        <w:shd w:val="clear" w:color="A5A5A5" w:themeColor="accent3" w:fill="A5A5A5" w:themeFill="accent3"/>
      </w:tcPr>
    </w:tblStylePr>
    <w:tblStylePr w:type="lastCol">
      <w:rPr>
        <w:rFonts w:ascii="Arial" w:hAnsi="Arial"/>
        <w:b/>
        <w:color w:val="FFFFFF"/>
        <w:sz w:val="22"/>
      </w:rPr>
      <w:tcPr>
        <w:shd w:val="clear" w:color="A5A5A5" w:themeColor="accent3" w:fill="A5A5A5" w:themeFill="accent3"/>
      </w:tcPr>
    </w:tblStylePr>
    <w:tblStylePr w:type="band1Vert">
      <w:tcPr>
        <w:shd w:val="clear" w:color="D5D5D5" w:themeColor="accent3" w:themeTint="75" w:fill="D5D5D5" w:themeFill="accent3" w:themeFillTint="75"/>
      </w:tcPr>
    </w:tblStylePr>
    <w:tblStylePr w:type="band2Vert"/>
    <w:tblStylePr w:type="band1Horz">
      <w:tcPr>
        <w:shd w:val="clear" w:color="D5D5D5" w:themeColor="accent3" w:themeTint="75" w:fill="D5D5D5" w:themeFill="accent3"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9">
    <w:name w:val="Grid Table 5 Dark- Accent 469"/>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C000" w:themeColor="accent4" w:fill="FFC000" w:themeFill="accent4"/>
      </w:tcPr>
    </w:tblStylePr>
    <w:tblStylePr w:type="lastRow">
      <w:rPr>
        <w:rFonts w:ascii="Arial" w:hAnsi="Arial"/>
        <w:b/>
        <w:color w:val="FFFFFF"/>
        <w:sz w:val="22"/>
      </w:rPr>
      <w:tcPr>
        <w:tcBorders>
          <w:top w:val="single" w:color="FFFFFF" w:themeColor="light1" w:sz="4" w:space="0"/>
        </w:tcBorders>
        <w:shd w:val="clear" w:color="FFC000" w:themeColor="accent4" w:fill="FFC000" w:themeFill="accent4"/>
      </w:tcPr>
    </w:tblStylePr>
    <w:tblStylePr w:type="firstCol">
      <w:rPr>
        <w:rFonts w:ascii="Arial" w:hAnsi="Arial"/>
        <w:b/>
        <w:color w:val="FFFFFF"/>
        <w:sz w:val="22"/>
      </w:rPr>
      <w:tcPr>
        <w:shd w:val="clear" w:color="FFC000" w:themeColor="accent4" w:fill="FFC000" w:themeFill="accent4"/>
      </w:tcPr>
    </w:tblStylePr>
    <w:tblStylePr w:type="lastCol">
      <w:rPr>
        <w:rFonts w:ascii="Arial" w:hAnsi="Arial"/>
        <w:b/>
        <w:color w:val="FFFFFF"/>
        <w:sz w:val="22"/>
      </w:rPr>
      <w:tcPr>
        <w:shd w:val="clear" w:color="FFC000" w:themeColor="accent4" w:fill="FFC000" w:themeFill="accent4"/>
      </w:tcPr>
    </w:tblStylePr>
    <w:tblStylePr w:type="band1Vert">
      <w:tcPr>
        <w:shd w:val="clear" w:color="FEE289" w:themeColor="accent4" w:themeTint="75" w:fill="FEE289" w:themeFill="accent4" w:themeFillTint="75"/>
      </w:tcPr>
    </w:tblStylePr>
    <w:tblStylePr w:type="band2Vert"/>
    <w:tblStylePr w:type="band1Horz">
      <w:tcPr>
        <w:shd w:val="clear" w:color="FEE289" w:themeColor="accent4" w:themeTint="75" w:fill="FEE289" w:themeFill="accent4"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0">
    <w:name w:val="Grid Table 5 Dark - Accent 570"/>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472C4" w:themeColor="accent5" w:fill="4472C4" w:themeFill="accent5"/>
      </w:tcPr>
    </w:tblStylePr>
    <w:tblStylePr w:type="lastRow">
      <w:rPr>
        <w:rFonts w:ascii="Arial" w:hAnsi="Arial"/>
        <w:b/>
        <w:color w:val="FFFFFF"/>
        <w:sz w:val="22"/>
      </w:rPr>
      <w:tcPr>
        <w:tcBorders>
          <w:top w:val="single" w:color="FFFFFF" w:themeColor="light1" w:sz="4" w:space="0"/>
        </w:tcBorders>
        <w:shd w:val="clear" w:color="4472C4" w:themeColor="accent5" w:fill="4472C4" w:themeFill="accent5"/>
      </w:tcPr>
    </w:tblStylePr>
    <w:tblStylePr w:type="firstCol">
      <w:rPr>
        <w:rFonts w:ascii="Arial" w:hAnsi="Arial"/>
        <w:b/>
        <w:color w:val="FFFFFF"/>
        <w:sz w:val="22"/>
      </w:rPr>
      <w:tcPr>
        <w:shd w:val="clear" w:color="4472C4" w:themeColor="accent5" w:fill="4472C4" w:themeFill="accent5"/>
      </w:tcPr>
    </w:tblStylePr>
    <w:tblStylePr w:type="lastCol">
      <w:rPr>
        <w:rFonts w:ascii="Arial" w:hAnsi="Arial"/>
        <w:b/>
        <w:color w:val="FFFFFF"/>
        <w:sz w:val="22"/>
      </w:rPr>
      <w:tcPr>
        <w:shd w:val="clear" w:color="4472C4" w:themeColor="accent5" w:fill="4472C4" w:themeFill="accent5"/>
      </w:tcPr>
    </w:tblStylePr>
    <w:tblStylePr w:type="band1Vert">
      <w:tcPr>
        <w:shd w:val="clear" w:color="A9BEE3" w:themeColor="accent5" w:themeTint="75" w:fill="A9BEE3" w:themeFill="accent5" w:themeFillTint="75"/>
      </w:tcPr>
    </w:tblStylePr>
    <w:tblStylePr w:type="band2Vert"/>
    <w:tblStylePr w:type="band1Horz">
      <w:tcPr>
        <w:shd w:val="clear" w:color="A9BEE3" w:themeColor="accent5" w:themeTint="75" w:fill="A9BEE3" w:themeFill="accent5"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1">
    <w:name w:val="Grid Table 5 Dark - Accent 671"/>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70AD47" w:themeColor="accent6" w:fill="70AD47" w:themeFill="accent6"/>
      </w:tcPr>
    </w:tblStylePr>
    <w:tblStylePr w:type="lastRow">
      <w:rPr>
        <w:rFonts w:ascii="Arial" w:hAnsi="Arial"/>
        <w:b/>
        <w:color w:val="FFFFFF"/>
        <w:sz w:val="22"/>
      </w:rPr>
      <w:tcPr>
        <w:tcBorders>
          <w:top w:val="single" w:color="FFFFFF" w:themeColor="light1" w:sz="4" w:space="0"/>
        </w:tcBorders>
        <w:shd w:val="clear" w:color="70AD47" w:themeColor="accent6" w:fill="70AD47" w:themeFill="accent6"/>
      </w:tcPr>
    </w:tblStylePr>
    <w:tblStylePr w:type="firstCol">
      <w:rPr>
        <w:rFonts w:ascii="Arial" w:hAnsi="Arial"/>
        <w:b/>
        <w:color w:val="FFFFFF"/>
        <w:sz w:val="22"/>
      </w:rPr>
      <w:tcPr>
        <w:shd w:val="clear" w:color="70AD47" w:themeColor="accent6" w:fill="70AD47" w:themeFill="accent6"/>
      </w:tcPr>
    </w:tblStylePr>
    <w:tblStylePr w:type="lastCol">
      <w:rPr>
        <w:rFonts w:ascii="Arial" w:hAnsi="Arial"/>
        <w:b/>
        <w:color w:val="FFFFFF"/>
        <w:sz w:val="22"/>
      </w:rPr>
      <w:tcPr>
        <w:shd w:val="clear" w:color="70AD47" w:themeColor="accent6" w:fill="70AD47" w:themeFill="accent6"/>
      </w:tcPr>
    </w:tblStylePr>
    <w:tblStylePr w:type="band1Vert">
      <w:tcPr>
        <w:shd w:val="clear" w:color="BCDBA8" w:themeColor="accent6" w:themeTint="75" w:fill="BCDBA8" w:themeFill="accent6" w:themeFillTint="75"/>
      </w:tcPr>
    </w:tblStylePr>
    <w:tblStylePr w:type="band2Vert"/>
    <w:tblStylePr w:type="band1Horz">
      <w:tcPr>
        <w:shd w:val="clear" w:color="BCDBA8" w:themeColor="accent6" w:themeTint="75" w:fill="BCDBA8" w:themeFill="accent6"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2">
    <w:name w:val="Grid Table 6 Colorful72"/>
    <w:basedOn w:val="21"/>
    <w:qFormat/>
    <w:uiPriority w:val="99"/>
    <w:pPr>
      <w:spacing w:after="0" w:line="240" w:lineRule="auto"/>
    </w:pPr>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themeColor="text1" w:themeTint="34" w:fill="CACACA" w:themeFill="text1" w:themeFillTint="34"/>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themeColor="text1" w:themeTint="34" w:fill="CACACA" w:themeFill="text1" w:themeFillTint="34"/>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3">
    <w:name w:val="Grid Table 6 Colorful - Accent 173"/>
    <w:basedOn w:val="21"/>
    <w:qFormat/>
    <w:uiPriority w:val="99"/>
    <w:pPr>
      <w:spacing w:after="0" w:line="240" w:lineRule="auto"/>
    </w:pPr>
    <w:tblPr>
      <w:tblBorders>
        <w:top w:val="single" w:color="ACCCE9" w:themeColor="accent1" w:themeTint="80" w:sz="4" w:space="0"/>
        <w:left w:val="single" w:color="ACCCE9" w:themeColor="accent1" w:themeTint="80" w:sz="4" w:space="0"/>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b/>
        <w:color w:val="ADCDEA" w:themeColor="accent1" w:themeTint="80"/>
        <w14:textFill>
          <w14:solidFill>
            <w14:schemeClr w14:val="accent1">
              <w14:lumMod w14:val="50000"/>
              <w14:lumOff w14:val="50000"/>
            </w14:schemeClr>
          </w14:solidFill>
        </w14:textFill>
      </w:rPr>
      <w:tcPr>
        <w:tcBorders>
          <w:bottom w:val="single" w:color="ACCCE9" w:themeColor="accent1" w:themeTint="80" w:sz="12" w:space="0"/>
        </w:tcBorders>
      </w:tcPr>
    </w:tblStylePr>
    <w:tblStylePr w:type="lastRow">
      <w:rPr>
        <w:b/>
        <w:color w:val="ADCDEA" w:themeColor="accent1" w:themeTint="80"/>
        <w14:textFill>
          <w14:solidFill>
            <w14:schemeClr w14:val="accent1">
              <w14:lumMod w14:val="50000"/>
              <w14:lumOff w14:val="50000"/>
            </w14:schemeClr>
          </w14:solidFill>
        </w14:textFill>
      </w:rPr>
    </w:tblStylePr>
    <w:tblStylePr w:type="firstCol">
      <w:rPr>
        <w:b/>
        <w:color w:val="ADCDEA" w:themeColor="accent1" w:themeTint="80"/>
        <w14:textFill>
          <w14:solidFill>
            <w14:schemeClr w14:val="accent1">
              <w14:lumMod w14:val="50000"/>
              <w14:lumOff w14:val="50000"/>
            </w14:schemeClr>
          </w14:solidFill>
        </w14:textFill>
      </w:rPr>
    </w:tblStylePr>
    <w:tblStylePr w:type="lastCol">
      <w:rPr>
        <w:b/>
        <w:color w:val="ADCDEA" w:themeColor="accent1" w:themeTint="80"/>
        <w14:textFill>
          <w14:solidFill>
            <w14:schemeClr w14:val="accent1">
              <w14:lumMod w14:val="50000"/>
              <w14:lumOff w14:val="50000"/>
            </w14:schemeClr>
          </w14:solidFill>
        </w14:textFill>
      </w:rPr>
    </w:tblStylePr>
    <w:tblStylePr w:type="band1Vert">
      <w:tcPr>
        <w:shd w:val="clear" w:color="DDEAF6" w:themeColor="accent1" w:themeTint="34" w:fill="DDEAF6" w:themeFill="accent1" w:themeFillTint="34"/>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themeColor="accent1" w:themeTint="34" w:fill="DDEAF6" w:themeFill="accent1" w:themeFillTint="34"/>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4">
    <w:name w:val="Grid Table 6 Colorful - Accent 274"/>
    <w:basedOn w:val="21"/>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12" w:space="0"/>
        </w:tcBorders>
      </w:tcPr>
    </w:tblStylePr>
    <w:tblStylePr w:type="lastRow">
      <w:rPr>
        <w:b/>
        <w:color w:val="F4B285" w:themeColor="accent2" w:themeTint="96"/>
        <w14:textFill>
          <w14:solidFill>
            <w14:schemeClr w14:val="accent2">
              <w14:lumMod w14:val="59000"/>
              <w14:lumOff w14:val="41000"/>
            </w14:schemeClr>
          </w14:solidFill>
        </w14:textFill>
      </w:r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BE5D6" w:themeColor="accent2" w:themeTint="32" w:fill="FBE5D6" w:themeFill="accent2" w:themeFillTint="32"/>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themeColor="accent2" w:themeTint="32" w:fill="FBE5D6" w:themeFill="accent2" w:themeFillTint="32"/>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5">
    <w:name w:val="Grid Table 6 Colorful - Accent 375"/>
    <w:basedOn w:val="21"/>
    <w:qFormat/>
    <w:uiPriority w:val="99"/>
    <w:pPr>
      <w:spacing w:after="0" w:line="240" w:lineRule="auto"/>
    </w:pPr>
    <w:tblPr>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A5A5A5" w:themeColor="accent3" w:themeTint="FF"/>
        <w14:textFill>
          <w14:solidFill>
            <w14:schemeClr w14:val="accent3">
              <w14:lumMod w14:val="100000"/>
              <w14:lumOff w14:val="0"/>
            </w14:schemeClr>
          </w14:solidFill>
        </w14:textFill>
      </w:rPr>
      <w:tcPr>
        <w:tcBorders>
          <w:bottom w:val="single" w:color="A5A5A5" w:themeColor="accent3" w:themeTint="FE" w:sz="12" w:space="0"/>
        </w:tcBorders>
      </w:tcPr>
    </w:tblStylePr>
    <w:tblStylePr w:type="lastRow">
      <w:rPr>
        <w:b/>
        <w:color w:val="A5A5A5" w:themeColor="accent3" w:themeTint="FF"/>
        <w14:textFill>
          <w14:solidFill>
            <w14:schemeClr w14:val="accent3">
              <w14:lumMod w14:val="100000"/>
              <w14:lumOff w14:val="0"/>
            </w14:schemeClr>
          </w14:solidFill>
        </w14:textFill>
      </w:rPr>
    </w:tblStylePr>
    <w:tblStylePr w:type="firstCol">
      <w:rPr>
        <w:b/>
        <w:color w:val="A5A5A5" w:themeColor="accent3" w:themeTint="FF"/>
        <w14:textFill>
          <w14:solidFill>
            <w14:schemeClr w14:val="accent3">
              <w14:lumMod w14:val="100000"/>
              <w14:lumOff w14:val="0"/>
            </w14:schemeClr>
          </w14:solidFill>
        </w14:textFill>
      </w:rPr>
    </w:tblStylePr>
    <w:tblStylePr w:type="lastCol">
      <w:rPr>
        <w:b/>
        <w:color w:val="A5A5A5" w:themeColor="accent3" w:themeTint="FF"/>
        <w14:textFill>
          <w14:solidFill>
            <w14:schemeClr w14:val="accent3">
              <w14:lumMod w14:val="100000"/>
              <w14:lumOff w14:val="0"/>
            </w14:schemeClr>
          </w14:solidFill>
        </w14:textFill>
      </w:rPr>
    </w:tblStylePr>
    <w:tblStylePr w:type="band1Vert">
      <w:tcPr>
        <w:shd w:val="clear" w:color="ECECEC" w:themeColor="accent3" w:themeTint="34" w:fill="ECECEC" w:themeFill="accent3" w:themeFillTint="34"/>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themeColor="accent3" w:themeTint="34" w:fill="ECECEC" w:themeFill="accent3" w:themeFillTint="34"/>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6">
    <w:name w:val="Grid Table 6 Colorful - Accent 476"/>
    <w:basedOn w:val="21"/>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12" w:space="0"/>
        </w:tcBorders>
      </w:tcPr>
    </w:tblStylePr>
    <w:tblStylePr w:type="lastRow">
      <w:rPr>
        <w:b/>
        <w:color w:val="FFD966" w:themeColor="accent4" w:themeTint="99"/>
        <w14:textFill>
          <w14:solidFill>
            <w14:schemeClr w14:val="accent4">
              <w14:lumMod w14:val="60000"/>
              <w14:lumOff w14:val="40000"/>
            </w14:schemeClr>
          </w14:solidFill>
        </w14:textFill>
      </w:r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EF2CA" w:themeColor="accent4" w:themeTint="34" w:fill="FEF2CA" w:themeFill="accent4" w:themeFillTint="34"/>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themeColor="accent4" w:themeTint="34" w:fill="FEF2CA" w:themeFill="accent4" w:themeFillTint="34"/>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7">
    <w:name w:val="Grid Table 6 Colorful - Accent 577"/>
    <w:basedOn w:val="21"/>
    <w:qFormat/>
    <w:uiPriority w:val="99"/>
    <w:pPr>
      <w:spacing w:after="0" w:line="240" w:lineRule="auto"/>
    </w:pPr>
    <w:tblPr>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firstRow">
      <w:rPr>
        <w:b/>
        <w:color w:val="254174" w:themeColor="accent5" w:themeShade="94"/>
      </w:rPr>
      <w:tcPr>
        <w:tcBorders>
          <w:bottom w:val="single" w:color="4472C4" w:themeColor="accent5"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D8E2F2" w:themeColor="accent5" w:themeTint="34" w:fill="D8E2F2" w:themeFill="accent5" w:themeFillTint="34"/>
      </w:tcPr>
    </w:tblStylePr>
    <w:tblStylePr w:type="band2Vert"/>
    <w:tblStylePr w:type="band1Horz">
      <w:rPr>
        <w:rFonts w:ascii="Arial" w:hAnsi="Arial"/>
        <w:color w:val="254174" w:themeColor="accent5" w:themeShade="94"/>
        <w:sz w:val="22"/>
      </w:rPr>
      <w:tcPr>
        <w:shd w:val="clear" w:color="D8E2F2" w:themeColor="accent5" w:themeTint="34" w:fill="D8E2F2" w:themeFill="accent5" w:themeFillTint="34"/>
      </w:tcPr>
    </w:tblStylePr>
    <w:tblStylePr w:type="band2Horz">
      <w:rPr>
        <w:rFonts w:ascii="Arial" w:hAnsi="Arial"/>
        <w:color w:val="254174" w:themeColor="accent5" w:themeShade="94"/>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8">
    <w:name w:val="Grid Table 6 Colorful - Accent 678"/>
    <w:basedOn w:val="21"/>
    <w:qFormat/>
    <w:uiPriority w:val="99"/>
    <w:pPr>
      <w:spacing w:after="0" w:line="240" w:lineRule="auto"/>
    </w:pPr>
    <w:tblPr>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firstRow">
      <w:rPr>
        <w:b/>
        <w:color w:val="254174" w:themeColor="accent5" w:themeShade="94"/>
      </w:rPr>
      <w:tcPr>
        <w:tcBorders>
          <w:bottom w:val="single" w:color="70AD47" w:themeColor="accent6"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E1EFD8" w:themeColor="accent6" w:themeTint="34" w:fill="E1EFD8" w:themeFill="accent6" w:themeFillTint="34"/>
      </w:tcPr>
    </w:tblStylePr>
    <w:tblStylePr w:type="band2Vert"/>
    <w:tblStylePr w:type="band1Horz">
      <w:rPr>
        <w:rFonts w:ascii="Arial" w:hAnsi="Arial"/>
        <w:color w:val="254174" w:themeColor="accent5" w:themeShade="94"/>
        <w:sz w:val="22"/>
      </w:rPr>
      <w:tcPr>
        <w:shd w:val="clear" w:color="E1EFD8" w:themeColor="accent6" w:themeTint="34" w:fill="E1EFD8" w:themeFill="accent6" w:themeFillTint="34"/>
      </w:tcPr>
    </w:tblStylePr>
    <w:tblStylePr w:type="band2Horz">
      <w:rPr>
        <w:rFonts w:ascii="Arial" w:hAnsi="Arial"/>
        <w:color w:val="254174" w:themeColor="accent5" w:themeShade="94"/>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9">
    <w:name w:val="Grid Table 7 Colorful79"/>
    <w:basedOn w:val="21"/>
    <w:qFormat/>
    <w:uiPriority w:val="99"/>
    <w:pPr>
      <w:spacing w:after="0" w:line="240" w:lineRule="auto"/>
    </w:pPr>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themeColor="text1" w:themeTint="0D" w:fill="F1F1F1" w:themeFill="text1" w:themeFillTint="0D"/>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themeColor="text1" w:themeTint="0D" w:fill="F1F1F1" w:themeFill="text1" w:themeFillTint="0D"/>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0">
    <w:name w:val="Grid Table 7 Colorful - Accent 180"/>
    <w:basedOn w:val="21"/>
    <w:qFormat/>
    <w:uiPriority w:val="99"/>
    <w:pPr>
      <w:spacing w:after="0" w:line="240" w:lineRule="auto"/>
    </w:pPr>
    <w:tblPr>
      <w:tblBorders>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rFonts w:ascii="Arial" w:hAnsi="Arial"/>
        <w:b/>
        <w:color w:val="ADCDEA" w:themeColor="accent1" w:themeTint="80"/>
        <w:sz w:val="22"/>
        <w14:textFill>
          <w14:solidFill>
            <w14:schemeClr w14:val="accent1">
              <w14:lumMod w14:val="50000"/>
              <w14:lumOff w14:val="50000"/>
            </w14:schemeClr>
          </w14:solidFill>
        </w14:textFill>
      </w:rPr>
      <w:tcPr>
        <w:tcBorders>
          <w:top w:val="nil"/>
          <w:left w:val="nil"/>
          <w:bottom w:val="single" w:color="ACCCE9" w:themeColor="accent1" w:themeTint="80" w:sz="4" w:space="0"/>
          <w:right w:val="nil"/>
        </w:tcBorders>
        <w:shd w:val="clear" w:color="FFFFFF" w:themeColor="light1" w:fill="FFFFFF" w:themeFill="light1"/>
      </w:tcPr>
    </w:tblStylePr>
    <w:tblStylePr w:type="lastRow">
      <w:rPr>
        <w:rFonts w:ascii="Arial" w:hAnsi="Arial"/>
        <w:b/>
        <w:color w:val="ADCDEA" w:themeColor="accent1" w:themeTint="80"/>
        <w:sz w:val="22"/>
        <w14:textFill>
          <w14:solidFill>
            <w14:schemeClr w14:val="accent1">
              <w14:lumMod w14:val="50000"/>
              <w14:lumOff w14:val="50000"/>
            </w14:schemeClr>
          </w14:solidFill>
        </w14:textFill>
      </w:rPr>
      <w:tcPr>
        <w:tcBorders>
          <w:top w:val="single" w:color="ACCCE9" w:themeColor="accent1" w:themeTint="80" w:sz="4" w:space="0"/>
          <w:left w:val="nil"/>
          <w:bottom w:val="nil"/>
          <w:right w:val="nil"/>
        </w:tcBorders>
        <w:shd w:val="clear" w:color="FFFFFF" w:themeColor="light1" w:fill="FFFFFF" w:themeFill="light1"/>
      </w:tcPr>
    </w:tblStylePr>
    <w:tblStylePr w:type="firstCol">
      <w:pPr>
        <w:jc w:val="right"/>
      </w:pPr>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nil"/>
          <w:bottom w:val="nil"/>
          <w:right w:val="single" w:color="ACCCE9" w:themeColor="accent1" w:themeTint="80" w:sz="4" w:space="0"/>
        </w:tcBorders>
        <w:shd w:val="clear" w:color="FFFFFF" w:fill="auto"/>
      </w:tcPr>
    </w:tblStylePr>
    <w:tblStylePr w:type="lastCol">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single" w:color="ACCCE9" w:themeColor="accent1" w:themeTint="80" w:sz="4" w:space="0"/>
          <w:bottom w:val="nil"/>
          <w:right w:val="nil"/>
        </w:tcBorders>
        <w:shd w:val="clear" w:color="FFFFFF" w:fill="auto"/>
      </w:tcPr>
    </w:tblStylePr>
    <w:tblStylePr w:type="band1Vert">
      <w:tcPr>
        <w:shd w:val="clear" w:color="DDEAF6" w:themeColor="accent1" w:themeTint="34" w:fill="DDEAF6" w:themeFill="accent1" w:themeFillTint="34"/>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themeColor="accent1" w:themeTint="34" w:fill="DDEAF6" w:themeFill="accent1" w:themeFillTint="34"/>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1">
    <w:name w:val="Grid Table 7 Colorful - Accent 281"/>
    <w:basedOn w:val="21"/>
    <w:qFormat/>
    <w:uiPriority w:val="99"/>
    <w:pPr>
      <w:spacing w:after="0" w:line="240" w:lineRule="auto"/>
    </w:pPr>
    <w:tblPr>
      <w:tblBorders>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rFonts w:ascii="Arial" w:hAnsi="Arial"/>
        <w:b/>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themeColor="light1" w:fill="FFFFFF" w:themeFill="light1"/>
      </w:tcPr>
    </w:tblStylePr>
    <w:tblStylePr w:type="lastRow">
      <w:rPr>
        <w:rFonts w:ascii="Arial" w:hAnsi="Arial"/>
        <w:b/>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BE5D6" w:themeColor="accent2" w:themeTint="32" w:fill="FBE5D6" w:themeFill="accent2" w:themeFillTint="32"/>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themeColor="accent2" w:themeTint="32" w:fill="FBE5D6" w:themeFill="accent2" w:themeFillTint="32"/>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2">
    <w:name w:val="Grid Table 7 Colorful - Accent 382"/>
    <w:basedOn w:val="21"/>
    <w:qFormat/>
    <w:uiPriority w:val="99"/>
    <w:pPr>
      <w:spacing w:after="0" w:line="240" w:lineRule="auto"/>
    </w:pPr>
    <w:tblPr>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rFonts w:ascii="Arial" w:hAnsi="Arial"/>
        <w:b/>
        <w:color w:val="A5A5A5" w:themeColor="accent3" w:themeTint="FF"/>
        <w:sz w:val="22"/>
        <w14:textFill>
          <w14:solidFill>
            <w14:schemeClr w14:val="accent3">
              <w14:lumMod w14:val="100000"/>
              <w14:lumOff w14:val="0"/>
            </w14:schemeClr>
          </w14:solidFill>
        </w14:textFill>
      </w:rPr>
      <w:tcPr>
        <w:tcBorders>
          <w:top w:val="nil"/>
          <w:left w:val="nil"/>
          <w:bottom w:val="single" w:color="A5A5A5" w:themeColor="accent3" w:themeTint="FE" w:sz="4" w:space="0"/>
          <w:right w:val="nil"/>
        </w:tcBorders>
        <w:shd w:val="clear" w:color="FFFFFF" w:themeColor="light1" w:fill="FFFFFF" w:themeFill="light1"/>
      </w:tcPr>
    </w:tblStylePr>
    <w:tblStylePr w:type="lastRow">
      <w:rPr>
        <w:rFonts w:ascii="Arial" w:hAnsi="Arial"/>
        <w:b/>
        <w:color w:val="A5A5A5" w:themeColor="accent3" w:themeTint="FF"/>
        <w:sz w:val="22"/>
        <w14:textFill>
          <w14:solidFill>
            <w14:schemeClr w14:val="accent3">
              <w14:lumMod w14:val="100000"/>
              <w14:lumOff w14:val="0"/>
            </w14:schemeClr>
          </w14:solidFill>
        </w14:textFill>
      </w:rPr>
      <w:tcPr>
        <w:tcBorders>
          <w:top w:val="single" w:color="A5A5A5" w:themeColor="accent3" w:themeTint="FE" w:sz="4" w:space="0"/>
          <w:left w:val="nil"/>
          <w:bottom w:val="nil"/>
          <w:right w:val="nil"/>
        </w:tcBorders>
        <w:shd w:val="clear" w:color="FFFFFF" w:themeColor="light1" w:fill="FFFFFF" w:themeFill="light1"/>
      </w:tcPr>
    </w:tblStylePr>
    <w:tblStylePr w:type="firstCol">
      <w:pPr>
        <w:jc w:val="right"/>
      </w:pPr>
      <w:rPr>
        <w:rFonts w:ascii="Arial" w:hAnsi="Arial"/>
        <w:i/>
        <w:color w:val="A5A5A5" w:themeColor="accent3" w:themeTint="FF"/>
        <w:sz w:val="22"/>
        <w14:textFill>
          <w14:solidFill>
            <w14:schemeClr w14:val="accent3">
              <w14:lumMod w14:val="100000"/>
              <w14:lumOff w14:val="0"/>
            </w14:schemeClr>
          </w14:solidFill>
        </w14:textFill>
      </w:rPr>
      <w:tcPr>
        <w:tcBorders>
          <w:top w:val="nil"/>
          <w:left w:val="nil"/>
          <w:bottom w:val="nil"/>
          <w:right w:val="single" w:color="A5A5A5" w:themeColor="accent3" w:themeTint="FE" w:sz="4" w:space="0"/>
        </w:tcBorders>
        <w:shd w:val="clear" w:color="FFFFFF" w:fill="auto"/>
      </w:tcPr>
    </w:tblStylePr>
    <w:tblStylePr w:type="lastCol">
      <w:rPr>
        <w:rFonts w:ascii="Arial" w:hAnsi="Arial"/>
        <w:i/>
        <w:color w:val="A5A5A5" w:themeColor="accent3" w:themeTint="FF"/>
        <w:sz w:val="22"/>
        <w14:textFill>
          <w14:solidFill>
            <w14:schemeClr w14:val="accent3">
              <w14:lumMod w14:val="100000"/>
              <w14:lumOff w14:val="0"/>
            </w14:schemeClr>
          </w14:solidFill>
        </w14:textFill>
      </w:rPr>
      <w:tcPr>
        <w:tcBorders>
          <w:top w:val="nil"/>
          <w:left w:val="single" w:color="A5A5A5" w:themeColor="accent3" w:themeTint="FE" w:sz="4" w:space="0"/>
          <w:bottom w:val="nil"/>
          <w:right w:val="nil"/>
        </w:tcBorders>
        <w:shd w:val="clear" w:color="FFFFFF" w:fill="auto"/>
      </w:tcPr>
    </w:tblStylePr>
    <w:tblStylePr w:type="band1Vert">
      <w:tcPr>
        <w:shd w:val="clear" w:color="ECECEC" w:themeColor="accent3" w:themeTint="34" w:fill="ECECEC" w:themeFill="accent3" w:themeFillTint="34"/>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themeColor="accent3" w:themeTint="34" w:fill="ECECEC" w:themeFill="accent3" w:themeFillTint="34"/>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3">
    <w:name w:val="Grid Table 7 Colorful - Accent 483"/>
    <w:basedOn w:val="21"/>
    <w:qFormat/>
    <w:uiPriority w:val="99"/>
    <w:pPr>
      <w:spacing w:after="0" w:line="240" w:lineRule="auto"/>
    </w:pPr>
    <w:tblPr>
      <w:tblBorders>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rFonts w:ascii="Arial" w:hAnsi="Arial"/>
        <w:b/>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themeColor="light1" w:fill="FFFFFF" w:themeFill="light1"/>
      </w:tcPr>
    </w:tblStylePr>
    <w:tblStylePr w:type="lastRow">
      <w:rPr>
        <w:rFonts w:ascii="Arial" w:hAnsi="Arial"/>
        <w:b/>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EF2CA" w:themeColor="accent4" w:themeTint="34" w:fill="FEF2CA" w:themeFill="accent4" w:themeFillTint="34"/>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themeColor="accent4" w:themeTint="34" w:fill="FEF2CA" w:themeFill="accent4" w:themeFillTint="34"/>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4">
    <w:name w:val="Grid Table 7 Colorful - Accent 584"/>
    <w:basedOn w:val="21"/>
    <w:qFormat/>
    <w:uiPriority w:val="99"/>
    <w:pPr>
      <w:spacing w:after="0" w:line="240" w:lineRule="auto"/>
    </w:pPr>
    <w:tblPr>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254174" w:themeColor="accent5" w:themeShade="94"/>
        <w:sz w:val="22"/>
      </w:rPr>
      <w:tcPr>
        <w:tcBorders>
          <w:top w:val="nil"/>
          <w:left w:val="nil"/>
          <w:bottom w:val="single" w:color="95AFDD" w:themeColor="accent5" w:themeTint="90" w:sz="4" w:space="0"/>
          <w:right w:val="nil"/>
        </w:tcBorders>
        <w:shd w:val="clear" w:color="FFFFFF" w:themeColor="light1" w:fill="FFFFFF" w:themeFill="light1"/>
      </w:tcPr>
    </w:tblStylePr>
    <w:tblStylePr w:type="lastRow">
      <w:rPr>
        <w:rFonts w:ascii="Arial" w:hAnsi="Arial"/>
        <w:b/>
        <w:color w:val="254174" w:themeColor="accent5" w:themeShade="94"/>
        <w:sz w:val="22"/>
      </w:rPr>
      <w:tcPr>
        <w:tcBorders>
          <w:top w:val="single" w:color="95AFDD" w:themeColor="accent5" w:themeTint="90" w:sz="4" w:space="0"/>
          <w:left w:val="nil"/>
          <w:bottom w:val="nil"/>
          <w:right w:val="nil"/>
        </w:tcBorders>
        <w:shd w:val="clear" w:color="FFFFFF" w:themeColor="light1" w:fill="FFFFFF" w:themeFill="light1"/>
      </w:tcPr>
    </w:tblStylePr>
    <w:tblStylePr w:type="firstCol">
      <w:pPr>
        <w:jc w:val="right"/>
      </w:pPr>
      <w:rPr>
        <w:rFonts w:ascii="Arial" w:hAnsi="Arial"/>
        <w:i/>
        <w:color w:val="254174" w:themeColor="accent5" w:themeShade="94"/>
        <w:sz w:val="22"/>
      </w:rPr>
      <w:tcPr>
        <w:tcBorders>
          <w:top w:val="nil"/>
          <w:left w:val="nil"/>
          <w:bottom w:val="nil"/>
          <w:right w:val="single" w:color="95AFDD" w:themeColor="accent5" w:themeTint="90" w:sz="4" w:space="0"/>
        </w:tcBorders>
        <w:shd w:val="clear" w:color="FFFFFF" w:fill="auto"/>
      </w:tcPr>
    </w:tblStylePr>
    <w:tblStylePr w:type="lastCol">
      <w:rPr>
        <w:rFonts w:ascii="Arial" w:hAnsi="Arial"/>
        <w:i/>
        <w:color w:val="254174" w:themeColor="accent5" w:themeShade="94"/>
        <w:sz w:val="22"/>
      </w:rPr>
      <w:tcPr>
        <w:tcBorders>
          <w:top w:val="nil"/>
          <w:left w:val="single" w:color="95AFDD" w:themeColor="accent5" w:themeTint="90" w:sz="4" w:space="0"/>
          <w:bottom w:val="nil"/>
          <w:right w:val="nil"/>
        </w:tcBorders>
        <w:shd w:val="clear" w:color="FFFFFF" w:fill="auto"/>
      </w:tcPr>
    </w:tblStylePr>
    <w:tblStylePr w:type="band1Vert">
      <w:tcPr>
        <w:shd w:val="clear" w:color="D8E2F2" w:themeColor="accent5" w:themeTint="34" w:fill="D8E2F2" w:themeFill="accent5" w:themeFillTint="34"/>
      </w:tcPr>
    </w:tblStylePr>
    <w:tblStylePr w:type="band2Vert"/>
    <w:tblStylePr w:type="band1Horz">
      <w:rPr>
        <w:rFonts w:ascii="Arial" w:hAnsi="Arial"/>
        <w:color w:val="254174" w:themeColor="accent5" w:themeShade="94"/>
        <w:sz w:val="22"/>
      </w:rPr>
      <w:tcPr>
        <w:shd w:val="clear" w:color="D8E2F2" w:themeColor="accent5" w:themeTint="34" w:fill="D8E2F2" w:themeFill="accent5" w:themeFillTint="34"/>
      </w:tcPr>
    </w:tblStylePr>
    <w:tblStylePr w:type="band2Horz">
      <w:rPr>
        <w:rFonts w:ascii="Arial" w:hAnsi="Arial"/>
        <w:color w:val="254174" w:themeColor="accent5" w:themeShade="94"/>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5">
    <w:name w:val="Grid Table 7 Colorful - Accent 685"/>
    <w:basedOn w:val="21"/>
    <w:qFormat/>
    <w:uiPriority w:val="99"/>
    <w:pPr>
      <w:spacing w:after="0" w:line="240" w:lineRule="auto"/>
    </w:pPr>
    <w:tblPr>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416429" w:themeColor="accent6" w:themeShade="94"/>
        <w:sz w:val="22"/>
      </w:rPr>
      <w:tcPr>
        <w:tcBorders>
          <w:top w:val="nil"/>
          <w:left w:val="nil"/>
          <w:bottom w:val="single" w:color="ADD394" w:themeColor="accent6" w:themeTint="90" w:sz="4" w:space="0"/>
          <w:right w:val="nil"/>
        </w:tcBorders>
        <w:shd w:val="clear" w:color="FFFFFF" w:themeColor="light1" w:fill="FFFFFF" w:themeFill="light1"/>
      </w:tcPr>
    </w:tblStylePr>
    <w:tblStylePr w:type="lastRow">
      <w:rPr>
        <w:rFonts w:ascii="Arial" w:hAnsi="Arial"/>
        <w:b/>
        <w:color w:val="416429" w:themeColor="accent6" w:themeShade="94"/>
        <w:sz w:val="22"/>
      </w:rPr>
      <w:tcPr>
        <w:tcBorders>
          <w:top w:val="single" w:color="ADD394" w:themeColor="accent6" w:themeTint="90" w:sz="4" w:space="0"/>
          <w:left w:val="nil"/>
          <w:bottom w:val="nil"/>
          <w:right w:val="nil"/>
        </w:tcBorders>
        <w:shd w:val="clear" w:color="FFFFFF" w:themeColor="light1" w:fill="FFFFFF" w:themeFill="light1"/>
      </w:tcPr>
    </w:tblStylePr>
    <w:tblStylePr w:type="firstCol">
      <w:pPr>
        <w:jc w:val="right"/>
      </w:pPr>
      <w:rPr>
        <w:rFonts w:ascii="Arial" w:hAnsi="Arial"/>
        <w:i/>
        <w:color w:val="416429" w:themeColor="accent6" w:themeShade="94"/>
        <w:sz w:val="22"/>
      </w:rPr>
      <w:tcPr>
        <w:tcBorders>
          <w:top w:val="nil"/>
          <w:left w:val="nil"/>
          <w:bottom w:val="nil"/>
          <w:right w:val="single" w:color="ADD394" w:themeColor="accent6" w:themeTint="90" w:sz="4" w:space="0"/>
        </w:tcBorders>
        <w:shd w:val="clear" w:color="FFFFFF" w:fill="auto"/>
      </w:tcPr>
    </w:tblStylePr>
    <w:tblStylePr w:type="lastCol">
      <w:rPr>
        <w:rFonts w:ascii="Arial" w:hAnsi="Arial"/>
        <w:i/>
        <w:color w:val="416429" w:themeColor="accent6" w:themeShade="94"/>
        <w:sz w:val="22"/>
      </w:rPr>
      <w:tcPr>
        <w:tcBorders>
          <w:top w:val="nil"/>
          <w:left w:val="single" w:color="ADD394" w:themeColor="accent6" w:themeTint="90" w:sz="4" w:space="0"/>
          <w:bottom w:val="nil"/>
          <w:right w:val="nil"/>
        </w:tcBorders>
        <w:shd w:val="clear" w:color="FFFFFF" w:fill="auto"/>
      </w:tcPr>
    </w:tblStylePr>
    <w:tblStylePr w:type="band1Vert">
      <w:tcPr>
        <w:shd w:val="clear" w:color="E1EFD8" w:themeColor="accent6" w:themeTint="34" w:fill="E1EFD8" w:themeFill="accent6" w:themeFillTint="34"/>
      </w:tcPr>
    </w:tblStylePr>
    <w:tblStylePr w:type="band2Vert"/>
    <w:tblStylePr w:type="band1Horz">
      <w:rPr>
        <w:rFonts w:ascii="Arial" w:hAnsi="Arial"/>
        <w:color w:val="416429" w:themeColor="accent6" w:themeShade="94"/>
        <w:sz w:val="22"/>
      </w:rPr>
      <w:tcPr>
        <w:shd w:val="clear" w:color="E1EFD8" w:themeColor="accent6" w:themeTint="34" w:fill="E1EFD8" w:themeFill="accent6" w:themeFillTint="34"/>
      </w:tcPr>
    </w:tblStylePr>
    <w:tblStylePr w:type="band2Horz">
      <w:rPr>
        <w:rFonts w:ascii="Arial" w:hAnsi="Arial"/>
        <w:color w:val="416429" w:themeColor="accent6" w:themeShade="94"/>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6">
    <w:name w:val="List Table 1 Light86"/>
    <w:basedOn w:val="21"/>
    <w:qFormat/>
    <w:uiPriority w:val="99"/>
    <w:pPr>
      <w:spacing w:after="0" w:line="240" w:lineRule="auto"/>
    </w:p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themeColor="text1" w:themeTint="40" w:fill="BEBEBE" w:themeFill="text1" w:themeFillTint="40"/>
      </w:tcPr>
    </w:tblStylePr>
    <w:tblStylePr w:type="band2Vert"/>
    <w:tblStylePr w:type="band1Horz">
      <w:tcPr>
        <w:shd w:val="clear" w:color="BEBEBE" w:themeColor="text1" w:themeTint="40" w:fill="BEBEBE" w:themeFill="tex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7">
    <w:name w:val="List Table 1 Light - Accent 187"/>
    <w:basedOn w:val="21"/>
    <w:qFormat/>
    <w:uiPriority w:val="99"/>
    <w:pPr>
      <w:spacing w:after="0" w:line="240" w:lineRule="auto"/>
    </w:pPr>
    <w:tblStylePr w:type="firstRow">
      <w:rPr>
        <w:b/>
        <w:color w:val="404040"/>
      </w:rPr>
      <w:tcPr>
        <w:tcBorders>
          <w:top w:val="nil"/>
          <w:left w:val="nil"/>
          <w:bottom w:val="single" w:color="5B9BD5" w:themeColor="accent1" w:sz="4" w:space="0"/>
          <w:right w:val="nil"/>
        </w:tcBorders>
      </w:tcPr>
    </w:tblStylePr>
    <w:tblStylePr w:type="lastRow">
      <w:rPr>
        <w:b/>
        <w:color w:val="404040"/>
      </w:rPr>
      <w:tcPr>
        <w:tcBorders>
          <w:top w:val="single" w:color="5B9BD5"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5E5F4" w:themeColor="accent1" w:themeTint="40" w:fill="D5E5F4" w:themeFill="accent1" w:themeFillTint="40"/>
      </w:tcPr>
    </w:tblStylePr>
    <w:tblStylePr w:type="band2Vert"/>
    <w:tblStylePr w:type="band1Horz">
      <w:tcPr>
        <w:shd w:val="clear" w:color="D5E5F4" w:themeColor="accent1" w:themeTint="40" w:fill="D5E5F4" w:themeFill="accen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8">
    <w:name w:val="List Table 1 Light - Accent 288"/>
    <w:basedOn w:val="21"/>
    <w:qFormat/>
    <w:uiPriority w:val="99"/>
    <w:pPr>
      <w:spacing w:after="0" w:line="240" w:lineRule="auto"/>
    </w:pPr>
    <w:tblStylePr w:type="firstRow">
      <w:rPr>
        <w:b/>
        <w:color w:val="404040"/>
      </w:rPr>
      <w:tcPr>
        <w:tcBorders>
          <w:top w:val="nil"/>
          <w:left w:val="nil"/>
          <w:bottom w:val="single" w:color="ED7D31" w:themeColor="accent2" w:sz="4" w:space="0"/>
          <w:right w:val="nil"/>
        </w:tcBorders>
      </w:tcPr>
    </w:tblStylePr>
    <w:tblStylePr w:type="lastRow">
      <w:rPr>
        <w:b/>
        <w:color w:val="404040"/>
      </w:rPr>
      <w:tcPr>
        <w:tcBorders>
          <w:top w:val="single" w:color="ED7D31"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ADECB" w:themeColor="accent2" w:themeTint="40" w:fill="FADECB" w:themeFill="accent2" w:themeFillTint="40"/>
      </w:tcPr>
    </w:tblStylePr>
    <w:tblStylePr w:type="band2Vert"/>
    <w:tblStylePr w:type="band1Horz">
      <w:tcPr>
        <w:shd w:val="clear" w:color="FADECB" w:themeColor="accent2" w:themeTint="40" w:fill="FADECB" w:themeFill="accent2"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9">
    <w:name w:val="List Table 1 Light - Accent 389"/>
    <w:basedOn w:val="21"/>
    <w:qFormat/>
    <w:uiPriority w:val="99"/>
    <w:pPr>
      <w:spacing w:after="0" w:line="240" w:lineRule="auto"/>
    </w:pPr>
    <w:tblStylePr w:type="firstRow">
      <w:rPr>
        <w:b/>
        <w:color w:val="404040"/>
      </w:rPr>
      <w:tcPr>
        <w:tcBorders>
          <w:top w:val="nil"/>
          <w:left w:val="nil"/>
          <w:bottom w:val="single" w:color="A5A5A5" w:themeColor="accent3" w:sz="4" w:space="0"/>
          <w:right w:val="nil"/>
        </w:tcBorders>
      </w:tcPr>
    </w:tblStylePr>
    <w:tblStylePr w:type="lastRow">
      <w:rPr>
        <w:b/>
        <w:color w:val="404040"/>
      </w:rPr>
      <w:tcPr>
        <w:tcBorders>
          <w:top w:val="single" w:color="A5A5A5"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8E8E8" w:themeColor="accent3" w:themeTint="40" w:fill="E8E8E8" w:themeFill="accent3" w:themeFillTint="40"/>
      </w:tcPr>
    </w:tblStylePr>
    <w:tblStylePr w:type="band2Vert"/>
    <w:tblStylePr w:type="band1Horz">
      <w:tcPr>
        <w:shd w:val="clear" w:color="E8E8E8" w:themeColor="accent3" w:themeTint="40" w:fill="E8E8E8" w:themeFill="accent3"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0">
    <w:name w:val="List Table 1 Light - Accent 490"/>
    <w:basedOn w:val="21"/>
    <w:qFormat/>
    <w:uiPriority w:val="99"/>
    <w:pPr>
      <w:spacing w:after="0" w:line="240" w:lineRule="auto"/>
    </w:pPr>
    <w:tblStylePr w:type="firstRow">
      <w:rPr>
        <w:b/>
        <w:color w:val="404040"/>
      </w:rPr>
      <w:tcPr>
        <w:tcBorders>
          <w:top w:val="nil"/>
          <w:left w:val="nil"/>
          <w:bottom w:val="single" w:color="FFC000" w:themeColor="accent4" w:sz="4" w:space="0"/>
          <w:right w:val="nil"/>
        </w:tcBorders>
      </w:tcPr>
    </w:tblStylePr>
    <w:tblStylePr w:type="lastRow">
      <w:rPr>
        <w:b/>
        <w:color w:val="404040"/>
      </w:rPr>
      <w:tcPr>
        <w:tcBorders>
          <w:top w:val="single" w:color="FFC000"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EFBE" w:themeColor="accent4" w:themeTint="40" w:fill="FFEFBE" w:themeFill="accent4" w:themeFillTint="40"/>
      </w:tcPr>
    </w:tblStylePr>
    <w:tblStylePr w:type="band2Vert"/>
    <w:tblStylePr w:type="band1Horz">
      <w:tcPr>
        <w:shd w:val="clear" w:color="FFEFBE" w:themeColor="accent4" w:themeTint="40" w:fill="FFEFBE" w:themeFill="accent4"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1">
    <w:name w:val="List Table 1 Light - Accent 591"/>
    <w:basedOn w:val="21"/>
    <w:qFormat/>
    <w:uiPriority w:val="99"/>
    <w:pPr>
      <w:spacing w:after="0" w:line="240" w:lineRule="auto"/>
    </w:pPr>
    <w:tblStylePr w:type="firstRow">
      <w:rPr>
        <w:b/>
        <w:color w:val="404040"/>
      </w:rPr>
      <w:tcPr>
        <w:tcBorders>
          <w:top w:val="nil"/>
          <w:left w:val="nil"/>
          <w:bottom w:val="single" w:color="4472C4" w:themeColor="accent5" w:sz="4" w:space="0"/>
          <w:right w:val="nil"/>
        </w:tcBorders>
      </w:tcPr>
    </w:tblStylePr>
    <w:tblStylePr w:type="lastRow">
      <w:rPr>
        <w:b/>
        <w:color w:val="404040"/>
      </w:rPr>
      <w:tcPr>
        <w:tcBorders>
          <w:top w:val="single" w:color="4472C4"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0DBF0" w:themeColor="accent5" w:themeTint="40" w:fill="D0DBF0" w:themeFill="accent5" w:themeFillTint="40"/>
      </w:tcPr>
    </w:tblStylePr>
    <w:tblStylePr w:type="band2Vert"/>
    <w:tblStylePr w:type="band1Horz">
      <w:tcPr>
        <w:shd w:val="clear" w:color="D0DBF0" w:themeColor="accent5" w:themeTint="40" w:fill="D0DBF0" w:themeFill="accent5"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2">
    <w:name w:val="List Table 1 Light - Accent 692"/>
    <w:basedOn w:val="21"/>
    <w:qFormat/>
    <w:uiPriority w:val="99"/>
    <w:pPr>
      <w:spacing w:after="0" w:line="240" w:lineRule="auto"/>
    </w:pPr>
    <w:tblStylePr w:type="firstRow">
      <w:rPr>
        <w:b/>
        <w:color w:val="404040"/>
      </w:rPr>
      <w:tcPr>
        <w:tcBorders>
          <w:top w:val="nil"/>
          <w:left w:val="nil"/>
          <w:bottom w:val="single" w:color="70AD47" w:themeColor="accent6" w:sz="4" w:space="0"/>
          <w:right w:val="nil"/>
        </w:tcBorders>
      </w:tcPr>
    </w:tblStylePr>
    <w:tblStylePr w:type="lastRow">
      <w:rPr>
        <w:b/>
        <w:color w:val="404040"/>
      </w:rPr>
      <w:tcPr>
        <w:tcBorders>
          <w:top w:val="single" w:color="70AD47"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AEBCF" w:themeColor="accent6" w:themeTint="40" w:fill="DAEBCF" w:themeFill="accent6" w:themeFillTint="40"/>
      </w:tcPr>
    </w:tblStylePr>
    <w:tblStylePr w:type="band2Vert"/>
    <w:tblStylePr w:type="band1Horz">
      <w:tcPr>
        <w:shd w:val="clear" w:color="DAEBCF" w:themeColor="accent6" w:themeTint="40" w:fill="DAEBCF" w:themeFill="accent6"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3">
    <w:name w:val="List Table 293"/>
    <w:basedOn w:val="21"/>
    <w:qFormat/>
    <w:uiPriority w:val="99"/>
    <w:pPr>
      <w:spacing w:after="0" w:line="240" w:lineRule="auto"/>
    </w:pPr>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themeColor="text1" w:themeTint="40" w:fill="BEBEBE" w:themeFill="text1" w:themeFillTint="40"/>
      </w:tcPr>
    </w:tblStylePr>
    <w:tblStylePr w:type="band2Vert"/>
    <w:tblStylePr w:type="band1Horz">
      <w:rPr>
        <w:rFonts w:ascii="Arial" w:hAnsi="Arial"/>
        <w:color w:val="404040"/>
        <w:sz w:val="22"/>
      </w:rPr>
      <w:tcPr>
        <w:shd w:val="clear" w:color="BEBEBE" w:themeColor="text1" w:themeTint="40" w:fill="BEBEBE" w:themeFill="tex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4">
    <w:name w:val="List Table 2 - Accent 194"/>
    <w:basedOn w:val="21"/>
    <w:qFormat/>
    <w:uiPriority w:val="99"/>
    <w:pPr>
      <w:spacing w:after="0" w:line="240" w:lineRule="auto"/>
    </w:pPr>
    <w:tblPr>
      <w:tblBorders>
        <w:top w:val="single" w:color="A2C6E7" w:themeColor="accent1" w:themeTint="90" w:sz="4" w:space="0"/>
        <w:bottom w:val="single" w:color="A2C6E7" w:themeColor="accent1" w:themeTint="90" w:sz="4" w:space="0"/>
        <w:insideH w:val="single" w:color="A2C6E7" w:themeColor="accent1" w:themeTint="90" w:sz="4" w:space="0"/>
      </w:tblBorders>
    </w:tblPr>
    <w:tblStylePr w:type="fir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la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5E5F4" w:themeColor="accent1" w:themeTint="40" w:fill="D5E5F4" w:themeFill="accent1" w:themeFillTint="40"/>
      </w:tcPr>
    </w:tblStylePr>
    <w:tblStylePr w:type="band2Vert"/>
    <w:tblStylePr w:type="band1Horz">
      <w:rPr>
        <w:rFonts w:ascii="Arial" w:hAnsi="Arial"/>
        <w:color w:val="404040"/>
        <w:sz w:val="22"/>
      </w:rPr>
      <w:tcPr>
        <w:shd w:val="clear" w:color="D5E5F4" w:themeColor="accent1" w:themeTint="40" w:fill="D5E5F4" w:themeFill="accen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5">
    <w:name w:val="List Table 2 - Accent 295"/>
    <w:basedOn w:val="21"/>
    <w:qFormat/>
    <w:uiPriority w:val="99"/>
    <w:pPr>
      <w:spacing w:after="0" w:line="240" w:lineRule="auto"/>
    </w:pPr>
    <w:tblPr>
      <w:tblBorders>
        <w:top w:val="single" w:color="F4B58A" w:themeColor="accent2" w:themeTint="90" w:sz="4" w:space="0"/>
        <w:bottom w:val="single" w:color="F4B58A" w:themeColor="accent2" w:themeTint="90" w:sz="4" w:space="0"/>
        <w:insideH w:val="single" w:color="F4B58A" w:themeColor="accent2" w:themeTint="90" w:sz="4" w:space="0"/>
      </w:tblBorders>
    </w:tblPr>
    <w:tblStylePr w:type="fir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la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ADECB" w:themeColor="accent2" w:themeTint="40" w:fill="FADECB" w:themeFill="accent2" w:themeFillTint="40"/>
      </w:tcPr>
    </w:tblStylePr>
    <w:tblStylePr w:type="band2Vert"/>
    <w:tblStylePr w:type="band1Horz">
      <w:rPr>
        <w:rFonts w:ascii="Arial" w:hAnsi="Arial"/>
        <w:color w:val="404040"/>
        <w:sz w:val="22"/>
      </w:rPr>
      <w:tcPr>
        <w:shd w:val="clear" w:color="FADECB" w:themeColor="accent2" w:themeTint="40" w:fill="FADECB" w:themeFill="accent2"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6">
    <w:name w:val="List Table 2 - Accent 396"/>
    <w:basedOn w:val="21"/>
    <w:qFormat/>
    <w:uiPriority w:val="99"/>
    <w:pPr>
      <w:spacing w:after="0" w:line="240" w:lineRule="auto"/>
    </w:pPr>
    <w:tblPr>
      <w:tblBorders>
        <w:top w:val="single" w:color="CCCCCC" w:themeColor="accent3" w:themeTint="90" w:sz="4" w:space="0"/>
        <w:bottom w:val="single" w:color="CCCCCC" w:themeColor="accent3" w:themeTint="90" w:sz="4" w:space="0"/>
        <w:insideH w:val="single" w:color="CCCCCC" w:themeColor="accent3" w:themeTint="90" w:sz="4" w:space="0"/>
      </w:tblBorders>
    </w:tblPr>
    <w:tblStylePr w:type="fir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la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8E8E8" w:themeColor="accent3" w:themeTint="40" w:fill="E8E8E8" w:themeFill="accent3" w:themeFillTint="40"/>
      </w:tcPr>
    </w:tblStylePr>
    <w:tblStylePr w:type="band2Vert"/>
    <w:tblStylePr w:type="band1Horz">
      <w:rPr>
        <w:rFonts w:ascii="Arial" w:hAnsi="Arial"/>
        <w:color w:val="404040"/>
        <w:sz w:val="22"/>
      </w:rPr>
      <w:tcPr>
        <w:shd w:val="clear" w:color="E8E8E8" w:themeColor="accent3" w:themeTint="40" w:fill="E8E8E8" w:themeFill="accent3"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7">
    <w:name w:val="List Table 2 - Accent 497"/>
    <w:basedOn w:val="21"/>
    <w:qFormat/>
    <w:uiPriority w:val="99"/>
    <w:pPr>
      <w:spacing w:after="0" w:line="240" w:lineRule="auto"/>
    </w:pPr>
    <w:tblPr>
      <w:tblBorders>
        <w:top w:val="single" w:color="FFDB6E" w:themeColor="accent4" w:themeTint="90" w:sz="4" w:space="0"/>
        <w:bottom w:val="single" w:color="FFDB6E" w:themeColor="accent4" w:themeTint="90" w:sz="4" w:space="0"/>
        <w:insideH w:val="single" w:color="FFDB6E" w:themeColor="accent4" w:themeTint="90" w:sz="4" w:space="0"/>
      </w:tblBorders>
    </w:tblPr>
    <w:tblStylePr w:type="fir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la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EFBE" w:themeColor="accent4" w:themeTint="40" w:fill="FFEFBE" w:themeFill="accent4" w:themeFillTint="40"/>
      </w:tcPr>
    </w:tblStylePr>
    <w:tblStylePr w:type="band2Vert"/>
    <w:tblStylePr w:type="band1Horz">
      <w:rPr>
        <w:rFonts w:ascii="Arial" w:hAnsi="Arial"/>
        <w:color w:val="404040"/>
        <w:sz w:val="22"/>
      </w:rPr>
      <w:tcPr>
        <w:shd w:val="clear" w:color="FFEFBE" w:themeColor="accent4" w:themeTint="40" w:fill="FFEFBE" w:themeFill="accent4"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8">
    <w:name w:val="List Table 2 - Accent 598"/>
    <w:basedOn w:val="21"/>
    <w:qFormat/>
    <w:uiPriority w:val="99"/>
    <w:pPr>
      <w:spacing w:after="0" w:line="240" w:lineRule="auto"/>
    </w:pPr>
    <w:tblPr>
      <w:tblBorders>
        <w:top w:val="single" w:color="95AFDD" w:themeColor="accent5" w:themeTint="90" w:sz="4" w:space="0"/>
        <w:bottom w:val="single" w:color="95AFDD" w:themeColor="accent5" w:themeTint="90" w:sz="4" w:space="0"/>
        <w:insideH w:val="single" w:color="95AFDD" w:themeColor="accent5" w:themeTint="90" w:sz="4" w:space="0"/>
      </w:tblBorders>
    </w:tblPr>
    <w:tblStylePr w:type="fir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la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0DBF0" w:themeColor="accent5" w:themeTint="40" w:fill="D0DBF0" w:themeFill="accent5" w:themeFillTint="40"/>
      </w:tcPr>
    </w:tblStylePr>
    <w:tblStylePr w:type="band2Vert"/>
    <w:tblStylePr w:type="band1Horz">
      <w:rPr>
        <w:rFonts w:ascii="Arial" w:hAnsi="Arial"/>
        <w:color w:val="404040"/>
        <w:sz w:val="22"/>
      </w:rPr>
      <w:tcPr>
        <w:shd w:val="clear" w:color="D0DBF0" w:themeColor="accent5" w:themeTint="40" w:fill="D0DBF0" w:themeFill="accent5"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9">
    <w:name w:val="List Table 2 - Accent 699"/>
    <w:basedOn w:val="21"/>
    <w:qFormat/>
    <w:uiPriority w:val="99"/>
    <w:pPr>
      <w:spacing w:after="0" w:line="240" w:lineRule="auto"/>
    </w:pPr>
    <w:tblPr>
      <w:tblBorders>
        <w:top w:val="single" w:color="ADD394" w:themeColor="accent6" w:themeTint="90" w:sz="4" w:space="0"/>
        <w:bottom w:val="single" w:color="ADD394" w:themeColor="accent6" w:themeTint="90" w:sz="4" w:space="0"/>
        <w:insideH w:val="single" w:color="ADD394" w:themeColor="accent6" w:themeTint="90" w:sz="4" w:space="0"/>
      </w:tblBorders>
    </w:tblPr>
    <w:tblStylePr w:type="fir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la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AEBCF" w:themeColor="accent6" w:themeTint="40" w:fill="DAEBCF" w:themeFill="accent6" w:themeFillTint="40"/>
      </w:tcPr>
    </w:tblStylePr>
    <w:tblStylePr w:type="band2Vert"/>
    <w:tblStylePr w:type="band1Horz">
      <w:rPr>
        <w:rFonts w:ascii="Arial" w:hAnsi="Arial"/>
        <w:color w:val="404040"/>
        <w:sz w:val="22"/>
      </w:rPr>
      <w:tcPr>
        <w:shd w:val="clear" w:color="DAEBCF" w:themeColor="accent6" w:themeTint="40" w:fill="DAEBCF" w:themeFill="accent6"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0">
    <w:name w:val="List Table 3100"/>
    <w:basedOn w:val="21"/>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2Vert"/>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1">
    <w:name w:val="List Table 3 - Accent 1101"/>
    <w:basedOn w:val="21"/>
    <w:qFormat/>
    <w:uiPriority w:val="99"/>
    <w:pPr>
      <w:spacing w:after="0" w:line="240" w:lineRule="auto"/>
    </w:pPr>
    <w:tblPr>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firstRow">
      <w:rPr>
        <w:rFonts w:ascii="Arial" w:hAnsi="Arial"/>
        <w:b/>
        <w:color w:val="FFFFFF"/>
        <w:sz w:val="22"/>
      </w:r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5B9BD5" w:themeColor="accent1" w:sz="4" w:space="0"/>
          <w:right w:val="single" w:color="5B9BD5" w:themeColor="accent1" w:sz="4" w:space="0"/>
        </w:tcBorders>
      </w:tcPr>
    </w:tblStylePr>
    <w:tblStylePr w:type="band2Vert"/>
    <w:tblStylePr w:type="band1Horz">
      <w:rPr>
        <w:rFonts w:ascii="Arial" w:hAnsi="Arial"/>
        <w:color w:val="404040"/>
        <w:sz w:val="22"/>
      </w:rPr>
      <w:tcPr>
        <w:tcBorders>
          <w:top w:val="single" w:color="5B9BD5" w:themeColor="accent1" w:sz="4" w:space="0"/>
          <w:bottom w:val="single" w:color="5B9BD5" w:themeColor="accent1"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2">
    <w:name w:val="List Table 3 - Accent 2102"/>
    <w:basedOn w:val="21"/>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blBorders>
    </w:tblPr>
    <w:tblStylePr w:type="firstRow">
      <w:rPr>
        <w:rFonts w:ascii="Arial" w:hAnsi="Arial"/>
        <w:b/>
        <w:color w:val="FFFFFF"/>
        <w:sz w:val="22"/>
      </w:rPr>
      <w:tcPr>
        <w:shd w:val="clear" w:color="F4B285" w:themeColor="accent2" w:themeTint="97" w:fill="F4B2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4B285" w:themeColor="accent2" w:themeTint="97" w:sz="4" w:space="0"/>
          <w:right w:val="single" w:color="F4B285" w:themeColor="accent2" w:themeTint="97" w:sz="4" w:space="0"/>
        </w:tcBorders>
      </w:tcPr>
    </w:tblStylePr>
    <w:tblStylePr w:type="band2Vert"/>
    <w:tblStylePr w:type="band1Horz">
      <w:rPr>
        <w:rFonts w:ascii="Arial" w:hAnsi="Arial"/>
        <w:color w:val="404040"/>
        <w:sz w:val="22"/>
      </w:rPr>
      <w:tcPr>
        <w:tcBorders>
          <w:top w:val="single" w:color="F4B285" w:themeColor="accent2" w:themeTint="97" w:sz="4" w:space="0"/>
          <w:bottom w:val="single" w:color="F4B285" w:themeColor="accent2" w:themeTint="9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3">
    <w:name w:val="List Table 3 - Accent 3103"/>
    <w:basedOn w:val="21"/>
    <w:qFormat/>
    <w:uiPriority w:val="99"/>
    <w:pPr>
      <w:spacing w:after="0" w:line="240" w:lineRule="auto"/>
    </w:pPr>
    <w:tblPr>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firstRow">
      <w:rPr>
        <w:rFonts w:ascii="Arial" w:hAnsi="Arial"/>
        <w:b/>
        <w:color w:val="FFFFFF"/>
        <w:sz w:val="22"/>
      </w:r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band2Vert"/>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4">
    <w:name w:val="List Table 3 - Accent 4104"/>
    <w:basedOn w:val="21"/>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blBorders>
    </w:tblPr>
    <w:tblStylePr w:type="firstRow">
      <w:rPr>
        <w:rFonts w:ascii="Arial" w:hAnsi="Arial"/>
        <w:b/>
        <w:color w:val="FFFFFF"/>
        <w:sz w:val="22"/>
      </w:rPr>
      <w:tcPr>
        <w:shd w:val="clear" w:color="FFD864" w:themeColor="accent4" w:themeTint="9A" w:fill="FFD864"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FD864" w:themeColor="accent4" w:themeTint="9A" w:sz="4" w:space="0"/>
          <w:right w:val="single" w:color="FFD864" w:themeColor="accent4" w:themeTint="9A" w:sz="4" w:space="0"/>
        </w:tcBorders>
      </w:tcPr>
    </w:tblStylePr>
    <w:tblStylePr w:type="band2Vert"/>
    <w:tblStylePr w:type="band1Horz">
      <w:rPr>
        <w:rFonts w:ascii="Arial" w:hAnsi="Arial"/>
        <w:color w:val="404040"/>
        <w:sz w:val="22"/>
      </w:rPr>
      <w:tcPr>
        <w:tcBorders>
          <w:top w:val="single" w:color="FFD864" w:themeColor="accent4" w:themeTint="9A" w:sz="4" w:space="0"/>
          <w:bottom w:val="single" w:color="FFD864" w:themeColor="accent4" w:themeTint="9A"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5">
    <w:name w:val="List Table 3 - Accent 5105"/>
    <w:basedOn w:val="21"/>
    <w:qFormat/>
    <w:uiPriority w:val="99"/>
    <w:pPr>
      <w:spacing w:after="0" w:line="240" w:lineRule="auto"/>
    </w:pPr>
    <w:tblPr>
      <w:tblBorders>
        <w:top w:val="single" w:color="8EA9DB" w:themeColor="accent5" w:themeTint="9A" w:sz="4" w:space="0"/>
        <w:left w:val="single" w:color="8EA9DB" w:themeColor="accent5" w:themeTint="9A" w:sz="4" w:space="0"/>
        <w:bottom w:val="single" w:color="8EA9DB" w:themeColor="accent5" w:themeTint="9A" w:sz="4" w:space="0"/>
        <w:right w:val="single" w:color="8EA9DB" w:themeColor="accent5" w:themeTint="9A" w:sz="4" w:space="0"/>
      </w:tblBorders>
    </w:tblPr>
    <w:tblStylePr w:type="firstRow">
      <w:rPr>
        <w:rFonts w:ascii="Arial" w:hAnsi="Arial"/>
        <w:b/>
        <w:color w:val="FFFFFF"/>
        <w:sz w:val="22"/>
      </w:rPr>
      <w:tcPr>
        <w:shd w:val="clear" w:color="8EA9DB" w:themeColor="accent5" w:themeTint="9A" w:fill="8E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8EA9DB" w:themeColor="accent5" w:themeTint="9A" w:sz="4" w:space="0"/>
          <w:right w:val="single" w:color="8EA9DB" w:themeColor="accent5" w:themeTint="9A" w:sz="4" w:space="0"/>
        </w:tcBorders>
      </w:tcPr>
    </w:tblStylePr>
    <w:tblStylePr w:type="band2Vert"/>
    <w:tblStylePr w:type="band1Horz">
      <w:rPr>
        <w:rFonts w:ascii="Arial" w:hAnsi="Arial"/>
        <w:color w:val="404040"/>
        <w:sz w:val="22"/>
      </w:rPr>
      <w:tcPr>
        <w:tcBorders>
          <w:top w:val="single" w:color="8EA9DB" w:themeColor="accent5" w:themeTint="9A" w:sz="4" w:space="0"/>
          <w:bottom w:val="single" w:color="8EA9DB" w:themeColor="accent5" w:themeTint="9A"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6">
    <w:name w:val="List Table 3 - Accent 6106"/>
    <w:basedOn w:val="21"/>
    <w:qFormat/>
    <w:uiPriority w:val="99"/>
    <w:pPr>
      <w:spacing w:after="0" w:line="240" w:lineRule="auto"/>
    </w:pPr>
    <w:tblPr>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firstRow">
      <w:rPr>
        <w:rFonts w:ascii="Arial" w:hAnsi="Arial"/>
        <w:b/>
        <w:color w:val="FFFFFF"/>
        <w:sz w:val="22"/>
      </w:r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band2Vert"/>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7">
    <w:name w:val="List Table 4107"/>
    <w:basedOn w:val="21"/>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themeColor="text1" w:themeTint="40" w:fill="BEBEBE" w:themeFill="text1" w:themeFillTint="40"/>
      </w:tcPr>
    </w:tblStylePr>
    <w:tblStylePr w:type="band2Vert"/>
    <w:tblStylePr w:type="band1Horz">
      <w:rPr>
        <w:rFonts w:ascii="Arial" w:hAnsi="Arial"/>
        <w:color w:val="404040"/>
        <w:sz w:val="22"/>
      </w:rPr>
      <w:tcPr>
        <w:shd w:val="clear" w:color="BEBEBE" w:themeColor="text1" w:themeTint="40" w:fill="BEBEBE" w:themeFill="tex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8">
    <w:name w:val="List Table 4 - Accent 1108"/>
    <w:basedOn w:val="21"/>
    <w:qFormat/>
    <w:uiPriority w:val="9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firstRow">
      <w:rPr>
        <w:rFonts w:ascii="Arial" w:hAnsi="Arial"/>
        <w:b/>
        <w:color w:val="FFFFFF"/>
        <w:sz w:val="22"/>
      </w:r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5E5F4" w:themeColor="accent1" w:themeTint="40" w:fill="D5E5F4" w:themeFill="accent1" w:themeFillTint="40"/>
      </w:tcPr>
    </w:tblStylePr>
    <w:tblStylePr w:type="band2Vert"/>
    <w:tblStylePr w:type="band1Horz">
      <w:rPr>
        <w:rFonts w:ascii="Arial" w:hAnsi="Arial"/>
        <w:color w:val="404040"/>
        <w:sz w:val="22"/>
      </w:rPr>
      <w:tcPr>
        <w:shd w:val="clear" w:color="D5E5F4" w:themeColor="accent1" w:themeTint="40" w:fill="D5E5F4" w:themeFill="accen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9">
    <w:name w:val="List Table 4 - Accent 2109"/>
    <w:basedOn w:val="21"/>
    <w:qFormat/>
    <w:uiPriority w:val="9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firstRow">
      <w:rPr>
        <w:rFonts w:ascii="Arial" w:hAnsi="Arial"/>
        <w:b/>
        <w:color w:val="FFFFFF"/>
        <w:sz w:val="22"/>
      </w:r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ADECB" w:themeColor="accent2" w:themeTint="40" w:fill="FADECB" w:themeFill="accent2" w:themeFillTint="40"/>
      </w:tcPr>
    </w:tblStylePr>
    <w:tblStylePr w:type="band2Vert"/>
    <w:tblStylePr w:type="band1Horz">
      <w:rPr>
        <w:rFonts w:ascii="Arial" w:hAnsi="Arial"/>
        <w:color w:val="404040"/>
        <w:sz w:val="22"/>
      </w:rPr>
      <w:tcPr>
        <w:shd w:val="clear" w:color="FADECB" w:themeColor="accent2" w:themeTint="40" w:fill="FADECB" w:themeFill="accent2"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0">
    <w:name w:val="List Table 4 - Accent 3110"/>
    <w:basedOn w:val="21"/>
    <w:qFormat/>
    <w:uiPriority w:val="9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firstRow">
      <w:rPr>
        <w:rFonts w:ascii="Arial" w:hAnsi="Arial"/>
        <w:b/>
        <w:color w:val="FFFFFF"/>
        <w:sz w:val="22"/>
      </w:r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8E8E8" w:themeColor="accent3" w:themeTint="40" w:fill="E8E8E8" w:themeFill="accent3" w:themeFillTint="40"/>
      </w:tcPr>
    </w:tblStylePr>
    <w:tblStylePr w:type="band2Vert"/>
    <w:tblStylePr w:type="band1Horz">
      <w:rPr>
        <w:rFonts w:ascii="Arial" w:hAnsi="Arial"/>
        <w:color w:val="404040"/>
        <w:sz w:val="22"/>
      </w:rPr>
      <w:tcPr>
        <w:shd w:val="clear" w:color="E8E8E8" w:themeColor="accent3" w:themeTint="40" w:fill="E8E8E8" w:themeFill="accent3"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1">
    <w:name w:val="List Table 4 - Accent 4111"/>
    <w:basedOn w:val="21"/>
    <w:qFormat/>
    <w:uiPriority w:val="9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tblBorders>
    </w:tblPr>
    <w:tblStylePr w:type="firstRow">
      <w:rPr>
        <w:rFonts w:ascii="Arial" w:hAnsi="Arial"/>
        <w:b/>
        <w:color w:val="FFFFFF"/>
        <w:sz w:val="22"/>
      </w:r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EFBE" w:themeColor="accent4" w:themeTint="40" w:fill="FFEFBE" w:themeFill="accent4" w:themeFillTint="40"/>
      </w:tcPr>
    </w:tblStylePr>
    <w:tblStylePr w:type="band2Vert"/>
    <w:tblStylePr w:type="band1Horz">
      <w:rPr>
        <w:rFonts w:ascii="Arial" w:hAnsi="Arial"/>
        <w:color w:val="404040"/>
        <w:sz w:val="22"/>
      </w:rPr>
      <w:tcPr>
        <w:shd w:val="clear" w:color="FFEFBE" w:themeColor="accent4" w:themeTint="40" w:fill="FFEFBE" w:themeFill="accent4"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2">
    <w:name w:val="List Table 4 - Accent 5112"/>
    <w:basedOn w:val="21"/>
    <w:qFormat/>
    <w:uiPriority w:val="9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firstRow">
      <w:rPr>
        <w:rFonts w:ascii="Arial" w:hAnsi="Arial"/>
        <w:b/>
        <w:color w:val="FFFFFF"/>
        <w:sz w:val="22"/>
      </w:r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0DBF0" w:themeColor="accent5" w:themeTint="40" w:fill="D0DBF0" w:themeFill="accent5" w:themeFillTint="40"/>
      </w:tcPr>
    </w:tblStylePr>
    <w:tblStylePr w:type="band2Vert"/>
    <w:tblStylePr w:type="band1Horz">
      <w:rPr>
        <w:rFonts w:ascii="Arial" w:hAnsi="Arial"/>
        <w:color w:val="404040"/>
        <w:sz w:val="22"/>
      </w:rPr>
      <w:tcPr>
        <w:shd w:val="clear" w:color="D0DBF0" w:themeColor="accent5" w:themeTint="40" w:fill="D0DBF0" w:themeFill="accent5"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3">
    <w:name w:val="List Table 4 - Accent 6113"/>
    <w:basedOn w:val="21"/>
    <w:qFormat/>
    <w:uiPriority w:val="9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firstRow">
      <w:rPr>
        <w:rFonts w:ascii="Arial" w:hAnsi="Arial"/>
        <w:b/>
        <w:color w:val="FFFFFF"/>
        <w:sz w:val="22"/>
      </w:r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BCF" w:themeColor="accent6" w:themeTint="40" w:fill="DAEBCF" w:themeFill="accent6" w:themeFillTint="40"/>
      </w:tcPr>
    </w:tblStylePr>
    <w:tblStylePr w:type="band2Vert"/>
    <w:tblStylePr w:type="band1Horz">
      <w:rPr>
        <w:rFonts w:ascii="Arial" w:hAnsi="Arial"/>
        <w:color w:val="404040"/>
        <w:sz w:val="22"/>
      </w:rPr>
      <w:tcPr>
        <w:shd w:val="clear" w:color="DAEBCF" w:themeColor="accent6" w:themeTint="40" w:fill="DAEBCF" w:themeFill="accent6"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4">
    <w:name w:val="List Table 5 Dark114"/>
    <w:basedOn w:val="21"/>
    <w:qFormat/>
    <w:uiPriority w:val="99"/>
    <w:pPr>
      <w:spacing w:after="0" w:line="240" w:lineRule="auto"/>
    </w:pPr>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themeColor="text1" w:themeTint="80" w:fill="7E7E7E" w:themeFill="text1" w:themeFillTint="80"/>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themeColor="text1" w:themeTint="80" w:fill="7E7E7E" w:themeFill="text1" w:themeFillTint="80"/>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band2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5">
    <w:name w:val="List Table 5 Dark - Accent 1115"/>
    <w:basedOn w:val="21"/>
    <w:qFormat/>
    <w:uiPriority w:val="99"/>
    <w:pPr>
      <w:spacing w:after="0" w:line="240" w:lineRule="auto"/>
    </w:pPr>
    <w:tblPr>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5B9BD5" w:themeColor="accent1" w:sz="32" w:space="0"/>
          <w:bottom w:val="single" w:color="FFFFFF" w:themeColor="light1" w:sz="12" w:space="0"/>
        </w:tcBorders>
        <w:shd w:val="clear" w:color="5B9BD5" w:themeColor="accent1" w:fill="5B9BD5" w:themeFill="accent1"/>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5B9BD5" w:themeColor="accent1" w:sz="32" w:space="0"/>
          <w:right w:val="single" w:color="FFFFFF" w:themeColor="light1" w:sz="4" w:space="0"/>
        </w:tcBorders>
      </w:tcPr>
    </w:tblStylePr>
    <w:tblStylePr w:type="lastCol">
      <w:tcPr>
        <w:tcBorders>
          <w:left w:val="single" w:color="FFFFFF" w:themeColor="light1" w:sz="4" w:space="0"/>
          <w:right w:val="single" w:color="5B9BD5" w:themeColor="accent1" w:sz="32" w:space="0"/>
        </w:tcBorders>
      </w:tcPr>
    </w:tblStylePr>
    <w:tblStylePr w:type="band1Vert">
      <w:tcPr>
        <w:tcBorders>
          <w:left w:val="single" w:color="FFFFFF" w:themeColor="light1" w:sz="4" w:space="0"/>
          <w:right w:val="single" w:color="FFFFFF" w:themeColor="light1" w:sz="4" w:space="0"/>
        </w:tcBorders>
        <w:shd w:val="clear" w:color="5B9BD5" w:themeColor="accent1" w:fill="5B9BD5" w:themeFill="accent1"/>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5B9BD5" w:themeColor="accent1" w:fill="5B9BD5" w:themeFill="accent1"/>
      </w:tcPr>
    </w:tblStylePr>
    <w:tblStylePr w:type="band2Horz">
      <w:tcPr>
        <w:tcBorders>
          <w:top w:val="single" w:color="FFFFFF" w:themeColor="light1" w:sz="4" w:space="0"/>
          <w:bottom w:val="single" w:color="FFFFFF" w:themeColor="light1" w:sz="4" w:space="0"/>
        </w:tcBorders>
        <w:shd w:val="clear" w:color="5B9BD5" w:themeColor="accent1" w:fill="5B9BD5" w:themeFill="accent1"/>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6">
    <w:name w:val="List Table 5 Dark - Accent 2116"/>
    <w:basedOn w:val="21"/>
    <w:qFormat/>
    <w:uiPriority w:val="99"/>
    <w:pPr>
      <w:spacing w:after="0" w:line="240" w:lineRule="auto"/>
    </w:pPr>
    <w:tblPr>
      <w:tblBorders>
        <w:top w:val="single" w:color="F4B285" w:themeColor="accent2" w:themeTint="97" w:sz="32" w:space="0"/>
        <w:left w:val="single" w:color="F4B285" w:themeColor="accent2" w:themeTint="97" w:sz="32" w:space="0"/>
        <w:bottom w:val="single" w:color="F4B285" w:themeColor="accent2" w:themeTint="97" w:sz="32" w:space="0"/>
        <w:right w:val="single" w:color="F4B28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F4B285" w:themeColor="accent2" w:themeTint="97" w:sz="32" w:space="0"/>
          <w:bottom w:val="single" w:color="FFFFFF" w:themeColor="light1" w:sz="12" w:space="0"/>
        </w:tcBorders>
        <w:shd w:val="clear" w:color="F4B285" w:themeColor="accent2" w:themeTint="97" w:fill="F4B285" w:themeFill="accent2" w:themeFillTint="97"/>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4B285" w:themeColor="accent2" w:themeTint="97" w:sz="32" w:space="0"/>
          <w:right w:val="single" w:color="FFFFFF" w:themeColor="light1" w:sz="4" w:space="0"/>
        </w:tcBorders>
      </w:tcPr>
    </w:tblStylePr>
    <w:tblStylePr w:type="lastCol">
      <w:tcPr>
        <w:tcBorders>
          <w:left w:val="single" w:color="FFFFFF" w:themeColor="light1" w:sz="4" w:space="0"/>
          <w:right w:val="single" w:color="F4B285" w:themeColor="accent2" w:themeTint="97" w:sz="32" w:space="0"/>
        </w:tcBorders>
      </w:tcPr>
    </w:tblStylePr>
    <w:tblStylePr w:type="band1Vert">
      <w:tcPr>
        <w:tcBorders>
          <w:left w:val="single" w:color="FFFFFF" w:themeColor="light1" w:sz="4" w:space="0"/>
          <w:right w:val="single" w:color="FFFFFF" w:themeColor="light1" w:sz="4" w:space="0"/>
        </w:tcBorders>
        <w:shd w:val="clear" w:color="F4B285" w:themeColor="accent2" w:themeTint="97" w:fill="F4B285" w:themeFill="accent2" w:themeFillTint="97"/>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4B285" w:themeColor="accent2" w:themeTint="97" w:fill="F4B285" w:themeFill="accent2" w:themeFillTint="97"/>
      </w:tcPr>
    </w:tblStylePr>
    <w:tblStylePr w:type="band2Horz">
      <w:tcPr>
        <w:tcBorders>
          <w:top w:val="single" w:color="FFFFFF" w:themeColor="light1" w:sz="4" w:space="0"/>
          <w:bottom w:val="single" w:color="FFFFFF" w:themeColor="light1" w:sz="4" w:space="0"/>
        </w:tcBorders>
        <w:shd w:val="clear" w:color="F4B285" w:themeColor="accent2" w:themeTint="97" w:fill="F4B285" w:themeFill="accent2" w:themeFillTint="97"/>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7">
    <w:name w:val="List Table 5 Dark - Accent 3117"/>
    <w:basedOn w:val="21"/>
    <w:qFormat/>
    <w:uiPriority w:val="99"/>
    <w:pPr>
      <w:spacing w:after="0" w:line="240" w:lineRule="auto"/>
    </w:pPr>
    <w:tblPr>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9C9C9" w:themeColor="accent3" w:themeTint="98" w:sz="32" w:space="0"/>
          <w:bottom w:val="single" w:color="FFFFFF" w:themeColor="light1" w:sz="12" w:space="0"/>
        </w:tcBorders>
        <w:shd w:val="clear" w:color="C9C9C9" w:themeColor="accent3" w:themeTint="98" w:fill="C9C9C9" w:themeFill="accent3"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9C9C9" w:themeColor="accent3" w:themeTint="98" w:sz="32" w:space="0"/>
          <w:right w:val="single" w:color="FFFFFF" w:themeColor="light1" w:sz="4" w:space="0"/>
        </w:tcBorders>
      </w:tcPr>
    </w:tblStylePr>
    <w:tblStylePr w:type="lastCol">
      <w:tcPr>
        <w:tcBorders>
          <w:left w:val="single" w:color="FFFFFF" w:themeColor="light1" w:sz="4" w:space="0"/>
          <w:right w:val="single" w:color="C9C9C9" w:themeColor="accent3" w:themeTint="98" w:sz="32" w:space="0"/>
        </w:tcBorders>
      </w:tcPr>
    </w:tblStylePr>
    <w:tblStylePr w:type="band1Vert">
      <w:tcPr>
        <w:tcBorders>
          <w:left w:val="single" w:color="FFFFFF" w:themeColor="light1" w:sz="4" w:space="0"/>
          <w:right w:val="single" w:color="FFFFFF" w:themeColor="light1" w:sz="4" w:space="0"/>
        </w:tcBorders>
        <w:shd w:val="clear" w:color="C9C9C9" w:themeColor="accent3" w:themeTint="98" w:fill="C9C9C9" w:themeFill="accent3"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9C9C9" w:themeColor="accent3" w:themeTint="98" w:fill="C9C9C9" w:themeFill="accent3" w:themeFillTint="98"/>
      </w:tcPr>
    </w:tblStylePr>
    <w:tblStylePr w:type="band2Horz">
      <w:tcPr>
        <w:tcBorders>
          <w:top w:val="single" w:color="FFFFFF" w:themeColor="light1" w:sz="4" w:space="0"/>
          <w:bottom w:val="single" w:color="FFFFFF" w:themeColor="light1" w:sz="4" w:space="0"/>
        </w:tcBorders>
        <w:shd w:val="clear" w:color="C9C9C9" w:themeColor="accent3" w:themeTint="98" w:fill="C9C9C9" w:themeFill="accent3" w:themeFillTint="98"/>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8">
    <w:name w:val="List Table 5 Dark - Accent 4118"/>
    <w:basedOn w:val="21"/>
    <w:qFormat/>
    <w:uiPriority w:val="99"/>
    <w:pPr>
      <w:spacing w:after="0" w:line="240" w:lineRule="auto"/>
    </w:pPr>
    <w:tblPr>
      <w:tblBorders>
        <w:top w:val="single" w:color="FFD864" w:themeColor="accent4" w:themeTint="9A" w:sz="32" w:space="0"/>
        <w:left w:val="single" w:color="FFD864" w:themeColor="accent4" w:themeTint="9A" w:sz="32" w:space="0"/>
        <w:bottom w:val="single" w:color="FFD864" w:themeColor="accent4" w:themeTint="9A" w:sz="32" w:space="0"/>
        <w:right w:val="single" w:color="FFD864"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FFD864" w:themeColor="accent4" w:themeTint="9A" w:sz="32" w:space="0"/>
          <w:bottom w:val="single" w:color="FFFFFF" w:themeColor="light1" w:sz="12" w:space="0"/>
        </w:tcBorders>
        <w:shd w:val="clear" w:color="FFD864" w:themeColor="accent4" w:themeTint="9A" w:fill="FFD864" w:themeFill="accent4"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FD864" w:themeColor="accent4" w:themeTint="9A" w:sz="32" w:space="0"/>
          <w:right w:val="single" w:color="FFFFFF" w:themeColor="light1" w:sz="4" w:space="0"/>
        </w:tcBorders>
      </w:tcPr>
    </w:tblStylePr>
    <w:tblStylePr w:type="lastCol">
      <w:tcPr>
        <w:tcBorders>
          <w:left w:val="single" w:color="FFFFFF" w:themeColor="light1" w:sz="4" w:space="0"/>
          <w:right w:val="single" w:color="FFD864" w:themeColor="accent4" w:themeTint="9A" w:sz="32" w:space="0"/>
        </w:tcBorders>
      </w:tcPr>
    </w:tblStylePr>
    <w:tblStylePr w:type="band1Vert">
      <w:tcPr>
        <w:tcBorders>
          <w:left w:val="single" w:color="FFFFFF" w:themeColor="light1" w:sz="4" w:space="0"/>
          <w:right w:val="single" w:color="FFFFFF" w:themeColor="light1" w:sz="4" w:space="0"/>
        </w:tcBorders>
        <w:shd w:val="clear" w:color="FFD864" w:themeColor="accent4" w:themeTint="9A" w:fill="FFD864" w:themeFill="accent4"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D864" w:themeColor="accent4" w:themeTint="9A" w:fill="FFD864" w:themeFill="accent4" w:themeFillTint="9A"/>
      </w:tcPr>
    </w:tblStylePr>
    <w:tblStylePr w:type="band2Horz">
      <w:tcPr>
        <w:tcBorders>
          <w:top w:val="single" w:color="FFFFFF" w:themeColor="light1" w:sz="4" w:space="0"/>
          <w:bottom w:val="single" w:color="FFFFFF" w:themeColor="light1" w:sz="4" w:space="0"/>
        </w:tcBorders>
        <w:shd w:val="clear" w:color="FFD864" w:themeColor="accent4" w:themeTint="9A" w:fill="FFD864" w:themeFill="accent4" w:themeFillTint="9A"/>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9">
    <w:name w:val="List Table 5 Dark - Accent 5119"/>
    <w:basedOn w:val="21"/>
    <w:qFormat/>
    <w:uiPriority w:val="99"/>
    <w:pPr>
      <w:spacing w:after="0" w:line="240" w:lineRule="auto"/>
    </w:pPr>
    <w:tblPr>
      <w:tblBorders>
        <w:top w:val="single" w:color="8EA9DB" w:themeColor="accent5" w:themeTint="9A" w:sz="32" w:space="0"/>
        <w:left w:val="single" w:color="8EA9DB" w:themeColor="accent5" w:themeTint="9A" w:sz="32" w:space="0"/>
        <w:bottom w:val="single" w:color="8EA9DB" w:themeColor="accent5" w:themeTint="9A" w:sz="32" w:space="0"/>
        <w:right w:val="single" w:color="8EA9DB"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8EA9DB" w:themeColor="accent5" w:themeTint="9A" w:sz="32" w:space="0"/>
          <w:bottom w:val="single" w:color="FFFFFF" w:themeColor="light1" w:sz="12" w:space="0"/>
        </w:tcBorders>
        <w:shd w:val="clear" w:color="8EA9DB" w:themeColor="accent5" w:themeTint="9A" w:fill="8EA9DB" w:themeFill="accent5"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8EA9DB" w:themeColor="accent5" w:themeTint="9A" w:sz="32" w:space="0"/>
          <w:right w:val="single" w:color="FFFFFF" w:themeColor="light1" w:sz="4" w:space="0"/>
        </w:tcBorders>
      </w:tcPr>
    </w:tblStylePr>
    <w:tblStylePr w:type="lastCol">
      <w:tcPr>
        <w:tcBorders>
          <w:left w:val="single" w:color="FFFFFF" w:themeColor="light1" w:sz="4" w:space="0"/>
          <w:right w:val="single" w:color="8EA9DB" w:themeColor="accent5" w:themeTint="9A" w:sz="32" w:space="0"/>
        </w:tcBorders>
      </w:tcPr>
    </w:tblStylePr>
    <w:tblStylePr w:type="band1Vert">
      <w:tcPr>
        <w:tcBorders>
          <w:left w:val="single" w:color="FFFFFF" w:themeColor="light1" w:sz="4" w:space="0"/>
          <w:right w:val="single" w:color="FFFFFF" w:themeColor="light1" w:sz="4" w:space="0"/>
        </w:tcBorders>
        <w:shd w:val="clear" w:color="8EA9DB" w:themeColor="accent5" w:themeTint="9A" w:fill="8EA9DB" w:themeFill="accent5"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8EA9DB" w:themeColor="accent5" w:themeTint="9A" w:fill="8EA9DB" w:themeFill="accent5" w:themeFillTint="9A"/>
      </w:tcPr>
    </w:tblStylePr>
    <w:tblStylePr w:type="band2Horz">
      <w:tcPr>
        <w:tcBorders>
          <w:top w:val="single" w:color="FFFFFF" w:themeColor="light1" w:sz="4" w:space="0"/>
          <w:bottom w:val="single" w:color="FFFFFF" w:themeColor="light1" w:sz="4" w:space="0"/>
        </w:tcBorders>
        <w:shd w:val="clear" w:color="8EA9DB" w:themeColor="accent5" w:themeTint="9A" w:fill="8EA9DB" w:themeFill="accent5" w:themeFillTint="9A"/>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0">
    <w:name w:val="List Table 5 Dark - Accent 6120"/>
    <w:basedOn w:val="21"/>
    <w:qFormat/>
    <w:uiPriority w:val="99"/>
    <w:pPr>
      <w:spacing w:after="0" w:line="240" w:lineRule="auto"/>
    </w:pPr>
    <w:tblPr>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A9D08E" w:themeColor="accent6" w:themeTint="98" w:sz="32" w:space="0"/>
          <w:bottom w:val="single" w:color="FFFFFF" w:themeColor="light1" w:sz="12" w:space="0"/>
        </w:tcBorders>
        <w:shd w:val="clear" w:color="A9D08E" w:themeColor="accent6" w:themeTint="98" w:fill="A9D08E" w:themeFill="accent6"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A9D08E" w:themeColor="accent6" w:themeTint="98" w:sz="32" w:space="0"/>
          <w:right w:val="single" w:color="FFFFFF" w:themeColor="light1" w:sz="4" w:space="0"/>
        </w:tcBorders>
      </w:tcPr>
    </w:tblStylePr>
    <w:tblStylePr w:type="lastCol">
      <w:tcPr>
        <w:tcBorders>
          <w:left w:val="single" w:color="FFFFFF" w:themeColor="light1" w:sz="4" w:space="0"/>
          <w:right w:val="single" w:color="A9D08E" w:themeColor="accent6" w:themeTint="98" w:sz="32" w:space="0"/>
        </w:tcBorders>
      </w:tcPr>
    </w:tblStylePr>
    <w:tblStylePr w:type="band1Vert">
      <w:tcPr>
        <w:tcBorders>
          <w:left w:val="single" w:color="FFFFFF" w:themeColor="light1" w:sz="4" w:space="0"/>
          <w:right w:val="single" w:color="FFFFFF" w:themeColor="light1" w:sz="4" w:space="0"/>
        </w:tcBorders>
        <w:shd w:val="clear" w:color="A9D08E" w:themeColor="accent6" w:themeTint="98" w:fill="A9D08E" w:themeFill="accent6"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9D08E" w:themeColor="accent6" w:themeTint="98" w:fill="A9D08E" w:themeFill="accent6" w:themeFillTint="98"/>
      </w:tcPr>
    </w:tblStylePr>
    <w:tblStylePr w:type="band2Horz">
      <w:tcPr>
        <w:tcBorders>
          <w:top w:val="single" w:color="FFFFFF" w:themeColor="light1" w:sz="4" w:space="0"/>
          <w:bottom w:val="single" w:color="FFFFFF" w:themeColor="light1" w:sz="4" w:space="0"/>
        </w:tcBorders>
        <w:shd w:val="clear" w:color="A9D08E" w:themeColor="accent6" w:themeTint="98" w:fill="A9D08E" w:themeFill="accent6" w:themeFillTint="98"/>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1">
    <w:name w:val="List Table 6 Colorful121"/>
    <w:basedOn w:val="21"/>
    <w:qFormat/>
    <w:uiPriority w:val="99"/>
    <w:pPr>
      <w:spacing w:after="0" w:line="240" w:lineRule="auto"/>
    </w:pPr>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themeColor="text1" w:themeTint="40" w:fill="BEBEBE" w:themeFill="text1" w:themeFillTint="40"/>
      </w:tcPr>
    </w:tblStylePr>
    <w:tblStylePr w:type="band2Vert"/>
    <w:tblStylePr w:type="band1Horz">
      <w:rPr>
        <w:rFonts w:ascii="Arial" w:hAnsi="Arial"/>
        <w:color w:val="000000" w:themeColor="text1"/>
        <w:sz w:val="22"/>
        <w14:textFill>
          <w14:solidFill>
            <w14:schemeClr w14:val="tx1"/>
          </w14:solidFill>
        </w14:textFill>
      </w:rPr>
      <w:tcPr>
        <w:shd w:val="clear" w:color="BEBEBE" w:themeColor="text1" w:themeTint="40" w:fill="BEBEBE" w:themeFill="text1" w:themeFillTint="40"/>
      </w:tcPr>
    </w:tblStylePr>
    <w:tblStylePr w:type="band2Horz">
      <w:rPr>
        <w:rFonts w:ascii="Arial" w:hAnsi="Arial"/>
        <w:color w:val="000000" w:themeColor="text1"/>
        <w:sz w:val="22"/>
        <w14:textFill>
          <w14:solidFill>
            <w14:schemeClr w14:val="tx1"/>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2">
    <w:name w:val="List Table 6 Colorful - Accent 1122"/>
    <w:basedOn w:val="21"/>
    <w:qFormat/>
    <w:uiPriority w:val="99"/>
    <w:pPr>
      <w:spacing w:after="0" w:line="240" w:lineRule="auto"/>
    </w:pPr>
    <w:tblPr>
      <w:tblBorders>
        <w:top w:val="single" w:color="5B9BD5" w:themeColor="accent1" w:sz="4" w:space="0"/>
        <w:bottom w:val="single" w:color="5B9BD5" w:themeColor="accent1" w:sz="4" w:space="0"/>
      </w:tblBorders>
    </w:tblPr>
    <w:tblStylePr w:type="firstRow">
      <w:rPr>
        <w:b/>
        <w:color w:val="245B8C" w:themeColor="accent1" w:themeShade="94"/>
      </w:rPr>
      <w:tcPr>
        <w:tcBorders>
          <w:bottom w:val="single" w:color="5B9BD5" w:themeColor="accent1" w:sz="4" w:space="0"/>
        </w:tcBorders>
      </w:tcPr>
    </w:tblStylePr>
    <w:tblStylePr w:type="lastRow">
      <w:rPr>
        <w:b/>
        <w:color w:val="245B8C" w:themeColor="accent1" w:themeShade="94"/>
      </w:rPr>
      <w:tcPr>
        <w:tcBorders>
          <w:top w:val="single" w:color="5B9BD5" w:themeColor="accent1" w:sz="4" w:space="0"/>
        </w:tcBorders>
      </w:tcPr>
    </w:tblStylePr>
    <w:tblStylePr w:type="firstCol">
      <w:rPr>
        <w:b/>
        <w:color w:val="245B8C" w:themeColor="accent1" w:themeShade="94"/>
      </w:rPr>
    </w:tblStylePr>
    <w:tblStylePr w:type="lastCol">
      <w:rPr>
        <w:b/>
        <w:color w:val="245B8C" w:themeColor="accent1" w:themeShade="94"/>
      </w:rPr>
    </w:tblStylePr>
    <w:tblStylePr w:type="band1Vert">
      <w:tcPr>
        <w:shd w:val="clear" w:color="D5E5F4" w:themeColor="accent1" w:themeTint="40" w:fill="D5E5F4" w:themeFill="accent1" w:themeFillTint="40"/>
      </w:tcPr>
    </w:tblStylePr>
    <w:tblStylePr w:type="band2Vert"/>
    <w:tblStylePr w:type="band1Horz">
      <w:rPr>
        <w:rFonts w:ascii="Arial" w:hAnsi="Arial"/>
        <w:color w:val="245B8C" w:themeColor="accent1" w:themeShade="94"/>
        <w:sz w:val="22"/>
      </w:rPr>
      <w:tcPr>
        <w:shd w:val="clear" w:color="D5E5F4" w:themeColor="accent1" w:themeTint="40" w:fill="D5E5F4" w:themeFill="accent1" w:themeFillTint="40"/>
      </w:tcPr>
    </w:tblStylePr>
    <w:tblStylePr w:type="band2Horz">
      <w:rPr>
        <w:rFonts w:ascii="Arial" w:hAnsi="Arial"/>
        <w:color w:val="245B8C" w:themeColor="accent1" w:themeShade="94"/>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3">
    <w:name w:val="List Table 6 Colorful - Accent 2123"/>
    <w:basedOn w:val="21"/>
    <w:qFormat/>
    <w:uiPriority w:val="99"/>
    <w:pPr>
      <w:spacing w:after="0" w:line="240" w:lineRule="auto"/>
    </w:pPr>
    <w:tblPr>
      <w:tblBorders>
        <w:top w:val="single" w:color="F4B285" w:themeColor="accent2" w:themeTint="97" w:sz="4" w:space="0"/>
        <w:bottom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4" w:space="0"/>
        </w:tcBorders>
      </w:tcPr>
    </w:tblStylePr>
    <w:tblStylePr w:type="lastRow">
      <w:rPr>
        <w:b/>
        <w:color w:val="F4B285" w:themeColor="accent2" w:themeTint="96"/>
        <w14:textFill>
          <w14:solidFill>
            <w14:schemeClr w14:val="accent2">
              <w14:lumMod w14:val="59000"/>
              <w14:lumOff w14:val="41000"/>
            </w14:schemeClr>
          </w14:solidFill>
        </w14:textFill>
      </w:rPr>
      <w:tcPr>
        <w:tcBorders>
          <w:top w:val="single" w:color="F4B285" w:themeColor="accent2" w:themeTint="97" w:sz="4" w:space="0"/>
        </w:tcBorders>
      </w:tc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ADECB" w:themeColor="accent2" w:themeTint="40" w:fill="FADECB" w:themeFill="accent2" w:themeFillTint="40"/>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themeColor="accent2" w:themeTint="40" w:fill="FADECB" w:themeFill="accent2" w:themeFillTint="40"/>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4">
    <w:name w:val="List Table 6 Colorful - Accent 3124"/>
    <w:basedOn w:val="21"/>
    <w:qFormat/>
    <w:uiPriority w:val="99"/>
    <w:pPr>
      <w:spacing w:after="0" w:line="240" w:lineRule="auto"/>
    </w:pPr>
    <w:tblPr>
      <w:tblBorders>
        <w:top w:val="single" w:color="C9C9C9" w:themeColor="accent3" w:themeTint="98" w:sz="4" w:space="0"/>
        <w:bottom w:val="single" w:color="C9C9C9" w:themeColor="accent3" w:themeTint="98" w:sz="4" w:space="0"/>
      </w:tblBorders>
    </w:tblPr>
    <w:tblStylePr w:type="firstRow">
      <w:rPr>
        <w:b/>
        <w:color w:val="C9C9C9" w:themeColor="accent3" w:themeTint="99"/>
        <w14:textFill>
          <w14:solidFill>
            <w14:schemeClr w14:val="accent3">
              <w14:lumMod w14:val="60000"/>
              <w14:lumOff w14:val="40000"/>
            </w14:schemeClr>
          </w14:solidFill>
        </w14:textFill>
      </w:rPr>
      <w:tcPr>
        <w:tcBorders>
          <w:bottom w:val="single" w:color="C9C9C9" w:themeColor="accent3" w:themeTint="98" w:sz="4" w:space="0"/>
        </w:tcBorders>
      </w:tcPr>
    </w:tblStylePr>
    <w:tblStylePr w:type="lastRow">
      <w:rPr>
        <w:b/>
        <w:color w:val="C9C9C9" w:themeColor="accent3" w:themeTint="99"/>
        <w14:textFill>
          <w14:solidFill>
            <w14:schemeClr w14:val="accent3">
              <w14:lumMod w14:val="60000"/>
              <w14:lumOff w14:val="40000"/>
            </w14:schemeClr>
          </w14:solidFill>
        </w14:textFill>
      </w:rPr>
      <w:tcPr>
        <w:tcBorders>
          <w:top w:val="single" w:color="C9C9C9" w:themeColor="accent3" w:themeTint="98" w:sz="4" w:space="0"/>
        </w:tcBorders>
      </w:tcPr>
    </w:tblStylePr>
    <w:tblStylePr w:type="firstCol">
      <w:rPr>
        <w:b/>
        <w:color w:val="C9C9C9" w:themeColor="accent3" w:themeTint="99"/>
        <w14:textFill>
          <w14:solidFill>
            <w14:schemeClr w14:val="accent3">
              <w14:lumMod w14:val="60000"/>
              <w14:lumOff w14:val="40000"/>
            </w14:schemeClr>
          </w14:solidFill>
        </w14:textFill>
      </w:rPr>
    </w:tblStylePr>
    <w:tblStylePr w:type="lastCol">
      <w:rPr>
        <w:b/>
        <w:color w:val="C9C9C9" w:themeColor="accent3" w:themeTint="99"/>
        <w14:textFill>
          <w14:solidFill>
            <w14:schemeClr w14:val="accent3">
              <w14:lumMod w14:val="60000"/>
              <w14:lumOff w14:val="40000"/>
            </w14:schemeClr>
          </w14:solidFill>
        </w14:textFill>
      </w:rPr>
    </w:tblStylePr>
    <w:tblStylePr w:type="band1Vert">
      <w:tcPr>
        <w:shd w:val="clear" w:color="E8E8E8" w:themeColor="accent3" w:themeTint="40" w:fill="E8E8E8" w:themeFill="accent3" w:themeFillTint="40"/>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themeColor="accent3" w:themeTint="40" w:fill="E8E8E8" w:themeFill="accent3" w:themeFillTint="40"/>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5">
    <w:name w:val="List Table 6 Colorful - Accent 4125"/>
    <w:basedOn w:val="21"/>
    <w:qFormat/>
    <w:uiPriority w:val="99"/>
    <w:pPr>
      <w:spacing w:after="0" w:line="240" w:lineRule="auto"/>
    </w:pPr>
    <w:tblPr>
      <w:tblBorders>
        <w:top w:val="single" w:color="FFD864" w:themeColor="accent4" w:themeTint="9A" w:sz="4" w:space="0"/>
        <w:bottom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4" w:space="0"/>
        </w:tcBorders>
      </w:tcPr>
    </w:tblStylePr>
    <w:tblStylePr w:type="lastRow">
      <w:rPr>
        <w:b/>
        <w:color w:val="FFD966" w:themeColor="accent4" w:themeTint="99"/>
        <w14:textFill>
          <w14:solidFill>
            <w14:schemeClr w14:val="accent4">
              <w14:lumMod w14:val="60000"/>
              <w14:lumOff w14:val="40000"/>
            </w14:schemeClr>
          </w14:solidFill>
        </w14:textFill>
      </w:rPr>
      <w:tcPr>
        <w:tcBorders>
          <w:top w:val="single" w:color="FFD864" w:themeColor="accent4" w:themeTint="9A" w:sz="4" w:space="0"/>
        </w:tcBorders>
      </w:tc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FEFBE" w:themeColor="accent4" w:themeTint="40" w:fill="FFEFBE" w:themeFill="accent4" w:themeFillTint="40"/>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themeColor="accent4" w:themeTint="40" w:fill="FFEFBE" w:themeFill="accent4" w:themeFillTint="40"/>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6">
    <w:name w:val="List Table 6 Colorful - Accent 5126"/>
    <w:basedOn w:val="21"/>
    <w:qFormat/>
    <w:uiPriority w:val="99"/>
    <w:pPr>
      <w:spacing w:after="0" w:line="240" w:lineRule="auto"/>
    </w:pPr>
    <w:tblPr>
      <w:tblBorders>
        <w:top w:val="single" w:color="8EA9DB" w:themeColor="accent5" w:themeTint="9A" w:sz="4" w:space="0"/>
        <w:bottom w:val="single" w:color="8EA9DB" w:themeColor="accent5" w:themeTint="9A" w:sz="4" w:space="0"/>
      </w:tblBorders>
    </w:tblPr>
    <w:tblStylePr w:type="firstRow">
      <w:rPr>
        <w:b/>
        <w:color w:val="8FAADC" w:themeColor="accent5" w:themeTint="99"/>
        <w14:textFill>
          <w14:solidFill>
            <w14:schemeClr w14:val="accent5">
              <w14:lumMod w14:val="60000"/>
              <w14:lumOff w14:val="40000"/>
            </w14:schemeClr>
          </w14:solidFill>
        </w14:textFill>
      </w:rPr>
      <w:tcPr>
        <w:tcBorders>
          <w:bottom w:val="single" w:color="8EA9DB" w:themeColor="accent5" w:themeTint="9A" w:sz="4" w:space="0"/>
        </w:tcBorders>
      </w:tcPr>
    </w:tblStylePr>
    <w:tblStylePr w:type="lastRow">
      <w:rPr>
        <w:b/>
        <w:color w:val="8FAADC" w:themeColor="accent5" w:themeTint="99"/>
        <w14:textFill>
          <w14:solidFill>
            <w14:schemeClr w14:val="accent5">
              <w14:lumMod w14:val="60000"/>
              <w14:lumOff w14:val="40000"/>
            </w14:schemeClr>
          </w14:solidFill>
        </w14:textFill>
      </w:rPr>
      <w:tcPr>
        <w:tcBorders>
          <w:top w:val="single" w:color="8EA9DB" w:themeColor="accent5" w:themeTint="9A" w:sz="4" w:space="0"/>
        </w:tcBorders>
      </w:tcPr>
    </w:tblStylePr>
    <w:tblStylePr w:type="firstCol">
      <w:rPr>
        <w:b/>
        <w:color w:val="8FAADC" w:themeColor="accent5" w:themeTint="99"/>
        <w14:textFill>
          <w14:solidFill>
            <w14:schemeClr w14:val="accent5">
              <w14:lumMod w14:val="60000"/>
              <w14:lumOff w14:val="40000"/>
            </w14:schemeClr>
          </w14:solidFill>
        </w14:textFill>
      </w:rPr>
    </w:tblStylePr>
    <w:tblStylePr w:type="lastCol">
      <w:rPr>
        <w:b/>
        <w:color w:val="8FAADC" w:themeColor="accent5" w:themeTint="99"/>
        <w14:textFill>
          <w14:solidFill>
            <w14:schemeClr w14:val="accent5">
              <w14:lumMod w14:val="60000"/>
              <w14:lumOff w14:val="40000"/>
            </w14:schemeClr>
          </w14:solidFill>
        </w14:textFill>
      </w:rPr>
    </w:tblStylePr>
    <w:tblStylePr w:type="band1Vert">
      <w:tcPr>
        <w:shd w:val="clear" w:color="D0DBF0" w:themeColor="accent5" w:themeTint="40" w:fill="D0DBF0" w:themeFill="accent5" w:themeFillTint="4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themeColor="accent5" w:themeTint="40" w:fill="D0DBF0" w:themeFill="accent5" w:themeFillTint="4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7">
    <w:name w:val="List Table 6 Colorful - Accent 6127"/>
    <w:basedOn w:val="21"/>
    <w:qFormat/>
    <w:uiPriority w:val="99"/>
    <w:pPr>
      <w:spacing w:after="0" w:line="240" w:lineRule="auto"/>
    </w:pPr>
    <w:tblPr>
      <w:tblBorders>
        <w:top w:val="single" w:color="A9D08E" w:themeColor="accent6" w:themeTint="98" w:sz="4" w:space="0"/>
        <w:bottom w:val="single" w:color="A9D08E" w:themeColor="accent6" w:themeTint="98" w:sz="4" w:space="0"/>
      </w:tblBorders>
    </w:tblPr>
    <w:tblStylePr w:type="firstRow">
      <w:rPr>
        <w:b/>
        <w:color w:val="A9D18E" w:themeColor="accent6" w:themeTint="99"/>
        <w14:textFill>
          <w14:solidFill>
            <w14:schemeClr w14:val="accent6">
              <w14:lumMod w14:val="60000"/>
              <w14:lumOff w14:val="40000"/>
            </w14:schemeClr>
          </w14:solidFill>
        </w14:textFill>
      </w:rPr>
      <w:tcPr>
        <w:tcBorders>
          <w:bottom w:val="single" w:color="A9D08E" w:themeColor="accent6" w:themeTint="98" w:sz="4" w:space="0"/>
        </w:tcBorders>
      </w:tcPr>
    </w:tblStylePr>
    <w:tblStylePr w:type="lastRow">
      <w:rPr>
        <w:b/>
        <w:color w:val="A9D18E" w:themeColor="accent6" w:themeTint="99"/>
        <w14:textFill>
          <w14:solidFill>
            <w14:schemeClr w14:val="accent6">
              <w14:lumMod w14:val="60000"/>
              <w14:lumOff w14:val="40000"/>
            </w14:schemeClr>
          </w14:solidFill>
        </w14:textFill>
      </w:rPr>
      <w:tcPr>
        <w:tcBorders>
          <w:top w:val="single" w:color="A9D08E" w:themeColor="accent6" w:themeTint="98" w:sz="4" w:space="0"/>
        </w:tcBorders>
      </w:tcPr>
    </w:tblStylePr>
    <w:tblStylePr w:type="firstCol">
      <w:rPr>
        <w:b/>
        <w:color w:val="A9D18E" w:themeColor="accent6" w:themeTint="99"/>
        <w14:textFill>
          <w14:solidFill>
            <w14:schemeClr w14:val="accent6">
              <w14:lumMod w14:val="60000"/>
              <w14:lumOff w14:val="40000"/>
            </w14:schemeClr>
          </w14:solidFill>
        </w14:textFill>
      </w:rPr>
    </w:tblStylePr>
    <w:tblStylePr w:type="lastCol">
      <w:rPr>
        <w:b/>
        <w:color w:val="A9D18E" w:themeColor="accent6" w:themeTint="99"/>
        <w14:textFill>
          <w14:solidFill>
            <w14:schemeClr w14:val="accent6">
              <w14:lumMod w14:val="60000"/>
              <w14:lumOff w14:val="40000"/>
            </w14:schemeClr>
          </w14:solidFill>
        </w14:textFill>
      </w:rPr>
    </w:tblStylePr>
    <w:tblStylePr w:type="band1Vert">
      <w:tcPr>
        <w:shd w:val="clear" w:color="DAEBCF" w:themeColor="accent6" w:themeTint="40" w:fill="DAEBCF" w:themeFill="accent6" w:themeFillTint="40"/>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themeColor="accent6" w:themeTint="40" w:fill="DAEBCF" w:themeFill="accent6" w:themeFillTint="40"/>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8">
    <w:name w:val="List Table 7 Colorful128"/>
    <w:basedOn w:val="21"/>
    <w:qFormat/>
    <w:uiPriority w:val="99"/>
    <w:pPr>
      <w:spacing w:after="0" w:line="240" w:lineRule="auto"/>
    </w:pPr>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themeColor="text1" w:themeTint="40" w:fill="BEBEBE" w:themeFill="text1" w:themeFillTint="40"/>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themeColor="text1" w:themeTint="40" w:fill="BEBEBE" w:themeFill="text1" w:themeFillTint="40"/>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9">
    <w:name w:val="List Table 7 Colorful - Accent 1129"/>
    <w:basedOn w:val="21"/>
    <w:qFormat/>
    <w:uiPriority w:val="99"/>
    <w:pPr>
      <w:spacing w:after="0" w:line="240" w:lineRule="auto"/>
    </w:pPr>
    <w:tblPr>
      <w:tblBorders>
        <w:right w:val="single" w:color="5B9BD5" w:themeColor="accent1" w:sz="4" w:space="0"/>
      </w:tblBorders>
    </w:tblPr>
    <w:tblStylePr w:type="firstRow">
      <w:rPr>
        <w:rFonts w:ascii="Arial" w:hAnsi="Arial"/>
        <w:i/>
        <w:color w:val="245B8C" w:themeColor="accent1" w:themeShade="94"/>
        <w:sz w:val="22"/>
      </w:rPr>
      <w:tcPr>
        <w:tcBorders>
          <w:top w:val="nil"/>
          <w:left w:val="nil"/>
          <w:bottom w:val="single" w:color="5B9BD5" w:themeColor="accent1" w:sz="4" w:space="0"/>
          <w:right w:val="nil"/>
        </w:tcBorders>
        <w:shd w:val="clear" w:color="FFFFFF" w:themeColor="light1" w:fill="FFFFFF" w:themeFill="light1"/>
      </w:tcPr>
    </w:tblStylePr>
    <w:tblStylePr w:type="lastRow">
      <w:rPr>
        <w:rFonts w:ascii="Arial" w:hAnsi="Arial"/>
        <w:i/>
        <w:color w:val="245B8C" w:themeColor="accent1" w:themeShade="94"/>
        <w:sz w:val="22"/>
      </w:rPr>
      <w:tcPr>
        <w:tcBorders>
          <w:top w:val="single" w:color="5B9BD5" w:themeColor="accent1" w:sz="4" w:space="0"/>
          <w:left w:val="nil"/>
          <w:bottom w:val="nil"/>
          <w:right w:val="nil"/>
        </w:tcBorders>
        <w:shd w:val="clear" w:color="FFFFFF" w:themeColor="light1" w:fill="FFFFFF" w:themeFill="light1"/>
      </w:tcPr>
    </w:tblStylePr>
    <w:tblStylePr w:type="firstCol">
      <w:pPr>
        <w:jc w:val="right"/>
      </w:pPr>
      <w:rPr>
        <w:rFonts w:ascii="Arial" w:hAnsi="Arial"/>
        <w:i/>
        <w:color w:val="245B8C" w:themeColor="accent1" w:themeShade="94"/>
        <w:sz w:val="22"/>
      </w:rPr>
      <w:tcPr>
        <w:tcBorders>
          <w:top w:val="nil"/>
          <w:left w:val="nil"/>
          <w:bottom w:val="nil"/>
          <w:right w:val="single" w:color="5B9BD5" w:themeColor="accent1" w:sz="4" w:space="0"/>
        </w:tcBorders>
        <w:shd w:val="clear" w:color="FFFFFF" w:fill="auto"/>
      </w:tcPr>
    </w:tblStylePr>
    <w:tblStylePr w:type="lastCol">
      <w:rPr>
        <w:rFonts w:ascii="Arial" w:hAnsi="Arial"/>
        <w:i/>
        <w:color w:val="245B8C" w:themeColor="accent1" w:themeShade="94"/>
        <w:sz w:val="22"/>
      </w:rPr>
      <w:tcPr>
        <w:tcBorders>
          <w:top w:val="nil"/>
          <w:left w:val="single" w:color="5B9BD5" w:themeColor="accent1" w:sz="4" w:space="0"/>
          <w:bottom w:val="nil"/>
          <w:right w:val="nil"/>
        </w:tcBorders>
        <w:shd w:val="clear" w:color="FFFFFF" w:fill="auto"/>
      </w:tcPr>
    </w:tblStylePr>
    <w:tblStylePr w:type="band1Vert">
      <w:tcPr>
        <w:shd w:val="clear" w:color="D5E5F4" w:themeColor="accent1" w:themeTint="40" w:fill="D5E5F4" w:themeFill="accent1" w:themeFillTint="40"/>
      </w:tcPr>
    </w:tblStylePr>
    <w:tblStylePr w:type="band2Vert"/>
    <w:tblStylePr w:type="band1Horz">
      <w:rPr>
        <w:rFonts w:ascii="Arial" w:hAnsi="Arial"/>
        <w:color w:val="245B8C" w:themeColor="accent1" w:themeShade="94"/>
        <w:sz w:val="22"/>
      </w:rPr>
      <w:tcPr>
        <w:shd w:val="clear" w:color="D5E5F4" w:themeColor="accent1" w:themeTint="40" w:fill="D5E5F4" w:themeFill="accent1" w:themeFillTint="40"/>
      </w:tcPr>
    </w:tblStylePr>
    <w:tblStylePr w:type="band2Horz">
      <w:rPr>
        <w:rFonts w:ascii="Arial" w:hAnsi="Arial"/>
        <w:color w:val="245B8C" w:themeColor="accent1" w:themeShade="94"/>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0">
    <w:name w:val="List Table 7 Colorful - Accent 2130"/>
    <w:basedOn w:val="21"/>
    <w:qFormat/>
    <w:uiPriority w:val="99"/>
    <w:pPr>
      <w:spacing w:after="0" w:line="240" w:lineRule="auto"/>
    </w:pPr>
    <w:tblPr>
      <w:tblBorders>
        <w:right w:val="single" w:color="F4B285" w:themeColor="accent2" w:themeTint="97" w:sz="4" w:space="0"/>
      </w:tblBorders>
    </w:tblPr>
    <w:tblStylePr w:type="firstRow">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themeColor="light1" w:fill="FFFFFF" w:themeFill="light1"/>
      </w:tcPr>
    </w:tblStylePr>
    <w:tblStylePr w:type="lastRow">
      <w:rPr>
        <w:rFonts w:ascii="Arial" w:hAnsi="Arial"/>
        <w:i/>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ADECB" w:themeColor="accent2" w:themeTint="40" w:fill="FADECB" w:themeFill="accent2" w:themeFillTint="40"/>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themeColor="accent2" w:themeTint="40" w:fill="FADECB" w:themeFill="accent2" w:themeFillTint="40"/>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1">
    <w:name w:val="List Table 7 Colorful - Accent 3131"/>
    <w:basedOn w:val="21"/>
    <w:qFormat/>
    <w:uiPriority w:val="99"/>
    <w:pPr>
      <w:spacing w:after="0" w:line="240" w:lineRule="auto"/>
    </w:pPr>
    <w:tblPr>
      <w:tblBorders>
        <w:right w:val="single" w:color="C9C9C9" w:themeColor="accent3" w:themeTint="98" w:sz="4" w:space="0"/>
      </w:tblBorders>
    </w:tblPr>
    <w:tblStylePr w:type="firstRow">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single" w:color="C9C9C9" w:themeColor="accent3" w:themeTint="98" w:sz="4" w:space="0"/>
          <w:right w:val="nil"/>
        </w:tcBorders>
        <w:shd w:val="clear" w:color="FFFFFF" w:themeColor="light1" w:fill="FFFFFF" w:themeFill="light1"/>
      </w:tcPr>
    </w:tblStylePr>
    <w:tblStylePr w:type="lastRow">
      <w:rPr>
        <w:rFonts w:ascii="Arial" w:hAnsi="Arial"/>
        <w:i/>
        <w:color w:val="C9C9C9" w:themeColor="accent3" w:themeTint="99"/>
        <w:sz w:val="22"/>
        <w14:textFill>
          <w14:solidFill>
            <w14:schemeClr w14:val="accent3">
              <w14:lumMod w14:val="60000"/>
              <w14:lumOff w14:val="40000"/>
            </w14:schemeClr>
          </w14:solidFill>
        </w14:textFill>
      </w:rPr>
      <w:tcPr>
        <w:tcBorders>
          <w:top w:val="single" w:color="C9C9C9" w:themeColor="accent3" w:themeTint="98" w:sz="4" w:space="0"/>
          <w:left w:val="nil"/>
          <w:bottom w:val="nil"/>
          <w:right w:val="nil"/>
        </w:tcBorders>
        <w:shd w:val="clear" w:color="FFFFFF" w:themeColor="light1" w:fill="FFFFFF" w:themeFill="light1"/>
      </w:tcPr>
    </w:tblStylePr>
    <w:tblStylePr w:type="firstCol">
      <w:pPr>
        <w:jc w:val="right"/>
      </w:pPr>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nil"/>
          <w:right w:val="single" w:color="C9C9C9" w:themeColor="accent3" w:themeTint="98" w:sz="4" w:space="0"/>
        </w:tcBorders>
        <w:shd w:val="clear" w:color="FFFFFF" w:fill="auto"/>
      </w:tcPr>
    </w:tblStylePr>
    <w:tblStylePr w:type="lastCol">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single" w:color="C9C9C9" w:themeColor="accent3" w:themeTint="98" w:sz="4" w:space="0"/>
          <w:bottom w:val="nil"/>
          <w:right w:val="nil"/>
        </w:tcBorders>
        <w:shd w:val="clear" w:color="FFFFFF" w:fill="auto"/>
      </w:tcPr>
    </w:tblStylePr>
    <w:tblStylePr w:type="band1Vert">
      <w:tcPr>
        <w:shd w:val="clear" w:color="E8E8E8" w:themeColor="accent3" w:themeTint="40" w:fill="E8E8E8" w:themeFill="accent3" w:themeFillTint="40"/>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themeColor="accent3" w:themeTint="40" w:fill="E8E8E8" w:themeFill="accent3" w:themeFillTint="40"/>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2">
    <w:name w:val="List Table 7 Colorful - Accent 4132"/>
    <w:basedOn w:val="21"/>
    <w:qFormat/>
    <w:uiPriority w:val="99"/>
    <w:pPr>
      <w:spacing w:after="0" w:line="240" w:lineRule="auto"/>
    </w:pPr>
    <w:tblPr>
      <w:tblBorders>
        <w:right w:val="single" w:color="FFD864" w:themeColor="accent4" w:themeTint="9A" w:sz="4" w:space="0"/>
      </w:tblBorders>
    </w:tblPr>
    <w:tblStylePr w:type="firstRow">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themeColor="light1" w:fill="FFFFFF" w:themeFill="light1"/>
      </w:tcPr>
    </w:tblStylePr>
    <w:tblStylePr w:type="lastRow">
      <w:rPr>
        <w:rFonts w:ascii="Arial" w:hAnsi="Arial"/>
        <w:i/>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FEFBE" w:themeColor="accent4" w:themeTint="40" w:fill="FFEFBE" w:themeFill="accent4" w:themeFillTint="40"/>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themeColor="accent4" w:themeTint="40" w:fill="FFEFBE" w:themeFill="accent4" w:themeFillTint="40"/>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3">
    <w:name w:val="List Table 7 Colorful - Accent 5133"/>
    <w:basedOn w:val="21"/>
    <w:qFormat/>
    <w:uiPriority w:val="99"/>
    <w:pPr>
      <w:spacing w:after="0" w:line="240" w:lineRule="auto"/>
    </w:pPr>
    <w:tblPr>
      <w:tblBorders>
        <w:right w:val="single" w:color="8EA9DB" w:themeColor="accent5" w:themeTint="9A" w:sz="4" w:space="0"/>
      </w:tblBorders>
    </w:tblPr>
    <w:tblStylePr w:type="firstRow">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single" w:color="8EA9DB" w:themeColor="accent5" w:themeTint="9A" w:sz="4" w:space="0"/>
          <w:right w:val="nil"/>
        </w:tcBorders>
        <w:shd w:val="clear" w:color="FFFFFF" w:themeColor="light1" w:fill="FFFFFF" w:themeFill="light1"/>
      </w:tcPr>
    </w:tblStylePr>
    <w:tblStylePr w:type="lastRow">
      <w:rPr>
        <w:rFonts w:ascii="Arial" w:hAnsi="Arial"/>
        <w:i/>
        <w:color w:val="8FAADC" w:themeColor="accent5" w:themeTint="99"/>
        <w:sz w:val="22"/>
        <w14:textFill>
          <w14:solidFill>
            <w14:schemeClr w14:val="accent5">
              <w14:lumMod w14:val="60000"/>
              <w14:lumOff w14:val="40000"/>
            </w14:schemeClr>
          </w14:solidFill>
        </w14:textFill>
      </w:rPr>
      <w:tcPr>
        <w:tcBorders>
          <w:top w:val="single" w:color="8EA9DB" w:themeColor="accent5" w:themeTint="9A" w:sz="4" w:space="0"/>
          <w:left w:val="nil"/>
          <w:bottom w:val="nil"/>
          <w:right w:val="nil"/>
        </w:tcBorders>
        <w:shd w:val="clear" w:color="FFFFFF" w:themeColor="light1" w:fill="FFFFFF" w:themeFill="light1"/>
      </w:tcPr>
    </w:tblStylePr>
    <w:tblStylePr w:type="firstCol">
      <w:pPr>
        <w:jc w:val="right"/>
      </w:pPr>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nil"/>
          <w:right w:val="single" w:color="8EA9DB" w:themeColor="accent5" w:themeTint="9A" w:sz="4" w:space="0"/>
        </w:tcBorders>
        <w:shd w:val="clear" w:color="FFFFFF" w:fill="auto"/>
      </w:tcPr>
    </w:tblStylePr>
    <w:tblStylePr w:type="lastCol">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single" w:color="8EA9DB" w:themeColor="accent5" w:themeTint="9A" w:sz="4" w:space="0"/>
          <w:bottom w:val="nil"/>
          <w:right w:val="nil"/>
        </w:tcBorders>
        <w:shd w:val="clear" w:color="FFFFFF" w:fill="auto"/>
      </w:tcPr>
    </w:tblStylePr>
    <w:tblStylePr w:type="band1Vert">
      <w:tcPr>
        <w:shd w:val="clear" w:color="D0DBF0" w:themeColor="accent5" w:themeTint="40" w:fill="D0DBF0" w:themeFill="accent5" w:themeFillTint="4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themeColor="accent5" w:themeTint="40" w:fill="D0DBF0" w:themeFill="accent5" w:themeFillTint="4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4">
    <w:name w:val="List Table 7 Colorful - Accent 6134"/>
    <w:basedOn w:val="21"/>
    <w:qFormat/>
    <w:uiPriority w:val="99"/>
    <w:pPr>
      <w:spacing w:after="0" w:line="240" w:lineRule="auto"/>
    </w:pPr>
    <w:tblPr>
      <w:tblBorders>
        <w:right w:val="single" w:color="A9D08E" w:themeColor="accent6" w:themeTint="98" w:sz="4" w:space="0"/>
      </w:tblBorders>
    </w:tblPr>
    <w:tblStylePr w:type="firstRow">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single" w:color="A9D08E" w:themeColor="accent6" w:themeTint="98" w:sz="4" w:space="0"/>
          <w:right w:val="nil"/>
        </w:tcBorders>
        <w:shd w:val="clear" w:color="FFFFFF" w:themeColor="light1" w:fill="FFFFFF" w:themeFill="light1"/>
      </w:tcPr>
    </w:tblStylePr>
    <w:tblStylePr w:type="lastRow">
      <w:rPr>
        <w:rFonts w:ascii="Arial" w:hAnsi="Arial"/>
        <w:i/>
        <w:color w:val="A9D18E" w:themeColor="accent6" w:themeTint="99"/>
        <w:sz w:val="22"/>
        <w14:textFill>
          <w14:solidFill>
            <w14:schemeClr w14:val="accent6">
              <w14:lumMod w14:val="60000"/>
              <w14:lumOff w14:val="40000"/>
            </w14:schemeClr>
          </w14:solidFill>
        </w14:textFill>
      </w:rPr>
      <w:tcPr>
        <w:tcBorders>
          <w:top w:val="single" w:color="A9D08E" w:themeColor="accent6" w:themeTint="98" w:sz="4" w:space="0"/>
          <w:left w:val="nil"/>
          <w:bottom w:val="nil"/>
          <w:right w:val="nil"/>
        </w:tcBorders>
        <w:shd w:val="clear" w:color="FFFFFF" w:themeColor="light1" w:fill="FFFFFF" w:themeFill="light1"/>
      </w:tcPr>
    </w:tblStylePr>
    <w:tblStylePr w:type="firstCol">
      <w:pPr>
        <w:jc w:val="right"/>
      </w:pPr>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nil"/>
          <w:right w:val="single" w:color="A9D08E" w:themeColor="accent6" w:themeTint="98" w:sz="4" w:space="0"/>
        </w:tcBorders>
        <w:shd w:val="clear" w:color="FFFFFF" w:fill="auto"/>
      </w:tcPr>
    </w:tblStylePr>
    <w:tblStylePr w:type="lastCol">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single" w:color="A9D08E" w:themeColor="accent6" w:themeTint="98" w:sz="4" w:space="0"/>
          <w:bottom w:val="nil"/>
          <w:right w:val="nil"/>
        </w:tcBorders>
        <w:shd w:val="clear" w:color="FFFFFF" w:fill="auto"/>
      </w:tcPr>
    </w:tblStylePr>
    <w:tblStylePr w:type="band1Vert">
      <w:tcPr>
        <w:shd w:val="clear" w:color="DAEBCF" w:themeColor="accent6" w:themeTint="40" w:fill="DAEBCF" w:themeFill="accent6" w:themeFillTint="40"/>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themeColor="accent6" w:themeTint="40" w:fill="DAEBCF" w:themeFill="accent6" w:themeFillTint="40"/>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5">
    <w:name w:val="Lined - Accent135"/>
    <w:basedOn w:val="21"/>
    <w:qFormat/>
    <w:uiPriority w:val="99"/>
    <w:pPr>
      <w:spacing w:after="0" w:line="240" w:lineRule="auto"/>
    </w:pPr>
    <w:rPr>
      <w:color w:val="404040"/>
    </w:r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6">
    <w:name w:val="Lined - Accent 1136"/>
    <w:basedOn w:val="21"/>
    <w:qFormat/>
    <w:uiPriority w:val="99"/>
    <w:pPr>
      <w:spacing w:after="0" w:line="240" w:lineRule="auto"/>
    </w:pPr>
    <w:rPr>
      <w:color w:val="404040"/>
    </w:rPr>
    <w:tblStylePr w:type="firstRow">
      <w:rPr>
        <w:rFonts w:ascii="Arial" w:hAnsi="Arial"/>
        <w:color w:val="F2F2F2"/>
        <w:sz w:val="22"/>
      </w:rPr>
      <w:tcPr>
        <w:shd w:val="clear" w:color="68A3D8" w:themeColor="accent1" w:themeTint="EA" w:fill="68A3D8" w:themeFill="accent1" w:themeFillTint="EA"/>
      </w:tcPr>
    </w:tblStylePr>
    <w:tblStylePr w:type="lastRow">
      <w:rPr>
        <w:rFonts w:ascii="Arial" w:hAnsi="Arial"/>
        <w:color w:val="F2F2F2"/>
        <w:sz w:val="22"/>
      </w:rPr>
      <w:tcPr>
        <w:shd w:val="clear" w:color="68A3D8" w:themeColor="accent1" w:themeTint="EA" w:fill="68A3D8" w:themeFill="accent1" w:themeFillTint="EA"/>
      </w:tcPr>
    </w:tblStylePr>
    <w:tblStylePr w:type="firstCol">
      <w:rPr>
        <w:rFonts w:ascii="Arial" w:hAnsi="Arial"/>
        <w:color w:val="F2F2F2"/>
        <w:sz w:val="22"/>
      </w:rPr>
      <w:tcPr>
        <w:shd w:val="clear" w:color="68A3D8" w:themeColor="accent1" w:themeTint="EA" w:fill="68A3D8" w:themeFill="accent1" w:themeFillTint="EA"/>
      </w:tcPr>
    </w:tblStylePr>
    <w:tblStylePr w:type="lastCol">
      <w:rPr>
        <w:rFonts w:ascii="Arial" w:hAnsi="Arial"/>
        <w:color w:val="F2F2F2"/>
        <w:sz w:val="22"/>
      </w:rPr>
      <w:tcPr>
        <w:shd w:val="clear" w:color="68A3D8" w:themeColor="accent1" w:themeTint="EA" w:fill="68A3D8"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7">
    <w:name w:val="Lined - Accent 2137"/>
    <w:basedOn w:val="21"/>
    <w:qFormat/>
    <w:uiPriority w:val="99"/>
    <w:pPr>
      <w:spacing w:after="0" w:line="240" w:lineRule="auto"/>
    </w:pPr>
    <w:rPr>
      <w:color w:val="404040"/>
    </w:rPr>
    <w:tblStylePr w:type="firstRow">
      <w:rPr>
        <w:rFonts w:ascii="Arial" w:hAnsi="Arial"/>
        <w:color w:val="F2F2F2"/>
        <w:sz w:val="22"/>
      </w:rPr>
      <w:tcPr>
        <w:shd w:val="clear" w:color="F4B285" w:themeColor="accent2" w:themeTint="97" w:fill="F4B285" w:themeFill="accent2" w:themeFillTint="97"/>
      </w:tcPr>
    </w:tblStylePr>
    <w:tblStylePr w:type="lastRow">
      <w:rPr>
        <w:rFonts w:ascii="Arial" w:hAnsi="Arial"/>
        <w:color w:val="F2F2F2"/>
        <w:sz w:val="22"/>
      </w:rPr>
      <w:tcPr>
        <w:shd w:val="clear" w:color="F4B285" w:themeColor="accent2" w:themeTint="97" w:fill="F4B285" w:themeFill="accent2" w:themeFillTint="97"/>
      </w:tcPr>
    </w:tblStylePr>
    <w:tblStylePr w:type="firstCol">
      <w:rPr>
        <w:rFonts w:ascii="Arial" w:hAnsi="Arial"/>
        <w:color w:val="F2F2F2"/>
        <w:sz w:val="22"/>
      </w:rPr>
      <w:tcPr>
        <w:shd w:val="clear" w:color="F4B285" w:themeColor="accent2" w:themeTint="97" w:fill="F4B285" w:themeFill="accent2" w:themeFillTint="97"/>
      </w:tcPr>
    </w:tblStylePr>
    <w:tblStylePr w:type="lastCol">
      <w:rPr>
        <w:rFonts w:ascii="Arial" w:hAnsi="Arial"/>
        <w:color w:val="F2F2F2"/>
        <w:sz w:val="22"/>
      </w:rPr>
      <w:tcPr>
        <w:shd w:val="clear" w:color="F4B285" w:themeColor="accent2" w:themeTint="97" w:fill="F4B28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8">
    <w:name w:val="Lined - Accent 3138"/>
    <w:basedOn w:val="21"/>
    <w:qFormat/>
    <w:uiPriority w:val="99"/>
    <w:pPr>
      <w:spacing w:after="0" w:line="240" w:lineRule="auto"/>
    </w:pPr>
    <w:rPr>
      <w:color w:val="404040"/>
    </w:rPr>
    <w:tblStylePr w:type="firstRow">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tblStylePr w:type="firstCol">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9">
    <w:name w:val="Lined - Accent 4139"/>
    <w:basedOn w:val="21"/>
    <w:qFormat/>
    <w:uiPriority w:val="99"/>
    <w:pPr>
      <w:spacing w:after="0" w:line="240" w:lineRule="auto"/>
    </w:pPr>
    <w:rPr>
      <w:color w:val="404040"/>
    </w:rPr>
    <w:tblStylePr w:type="firstRow">
      <w:rPr>
        <w:rFonts w:ascii="Arial" w:hAnsi="Arial"/>
        <w:color w:val="F2F2F2"/>
        <w:sz w:val="22"/>
      </w:rPr>
      <w:tcPr>
        <w:shd w:val="clear" w:color="FFD864" w:themeColor="accent4" w:themeTint="9A" w:fill="FFD864" w:themeFill="accent4" w:themeFillTint="9A"/>
      </w:tcPr>
    </w:tblStylePr>
    <w:tblStylePr w:type="lastRow">
      <w:rPr>
        <w:rFonts w:ascii="Arial" w:hAnsi="Arial"/>
        <w:color w:val="F2F2F2"/>
        <w:sz w:val="22"/>
      </w:rPr>
      <w:tcPr>
        <w:shd w:val="clear" w:color="FFD864" w:themeColor="accent4" w:themeTint="9A" w:fill="FFD864" w:themeFill="accent4" w:themeFillTint="9A"/>
      </w:tcPr>
    </w:tblStylePr>
    <w:tblStylePr w:type="firstCol">
      <w:rPr>
        <w:rFonts w:ascii="Arial" w:hAnsi="Arial"/>
        <w:color w:val="F2F2F2"/>
        <w:sz w:val="22"/>
      </w:rPr>
      <w:tcPr>
        <w:shd w:val="clear" w:color="FFD864" w:themeColor="accent4" w:themeTint="9A" w:fill="FFD864" w:themeFill="accent4" w:themeFillTint="9A"/>
      </w:tcPr>
    </w:tblStylePr>
    <w:tblStylePr w:type="lastCol">
      <w:rPr>
        <w:rFonts w:ascii="Arial" w:hAnsi="Arial"/>
        <w:color w:val="F2F2F2"/>
        <w:sz w:val="22"/>
      </w:rPr>
      <w:tcPr>
        <w:shd w:val="clear" w:color="FFD864" w:themeColor="accent4" w:themeTint="9A" w:fill="FFD864"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FEF2CA" w:themeColor="accent4" w:themeTint="34" w:fill="FEF2CA"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FEF2CA" w:themeColor="accent4" w:themeTint="34" w:fill="FEF2CA" w:themeFill="accent4"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0">
    <w:name w:val="Lined - Accent 5140"/>
    <w:basedOn w:val="21"/>
    <w:qFormat/>
    <w:uiPriority w:val="99"/>
    <w:pPr>
      <w:spacing w:after="0" w:line="240" w:lineRule="auto"/>
    </w:pPr>
    <w:rPr>
      <w:color w:val="404040"/>
    </w:rPr>
    <w:tblStylePr w:type="firstRow">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tblStylePr w:type="firstCol">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cPr>
        <w:shd w:val="clear" w:color="D8E2F2" w:themeColor="accent5" w:themeTint="34" w:fill="D8E2F2"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8E2F2" w:themeColor="accent5" w:themeTint="34" w:fill="D8E2F2" w:themeFill="accent5"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1">
    <w:name w:val="Lined - Accent 6141"/>
    <w:basedOn w:val="21"/>
    <w:qFormat/>
    <w:uiPriority w:val="99"/>
    <w:pPr>
      <w:spacing w:after="0" w:line="240" w:lineRule="auto"/>
    </w:pPr>
    <w:rPr>
      <w:color w:val="404040"/>
    </w:rPr>
    <w:tblStylePr w:type="firstRow">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tblStylePr w:type="firstCol">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2">
    <w:name w:val="Bordered &amp; Lined - Accent142"/>
    <w:basedOn w:val="21"/>
    <w:qFormat/>
    <w:uiPriority w:val="99"/>
    <w:pPr>
      <w:spacing w:after="0" w:line="240" w:lineRule="auto"/>
    </w:pPr>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3">
    <w:name w:val="Bordered &amp; Lined - Accent 1143"/>
    <w:basedOn w:val="21"/>
    <w:qFormat/>
    <w:uiPriority w:val="99"/>
    <w:pPr>
      <w:spacing w:after="0" w:line="240" w:lineRule="auto"/>
    </w:pPr>
    <w:rPr>
      <w:color w:val="404040"/>
    </w:rPr>
    <w:tblPr>
      <w:tblBorders>
        <w:top w:val="single" w:color="245B8D" w:themeColor="accent1" w:themeShade="95" w:sz="4" w:space="0"/>
        <w:left w:val="single" w:color="245B8D" w:themeColor="accent1" w:themeShade="95" w:sz="4" w:space="0"/>
        <w:bottom w:val="single" w:color="245B8D" w:themeColor="accent1" w:themeShade="95" w:sz="4" w:space="0"/>
        <w:right w:val="single" w:color="245B8D" w:themeColor="accent1" w:themeShade="95" w:sz="4" w:space="0"/>
        <w:insideH w:val="single" w:color="245B8D" w:themeColor="accent1" w:themeShade="95" w:sz="4" w:space="0"/>
        <w:insideV w:val="single" w:color="245B8D" w:themeColor="accent1" w:themeShade="95" w:sz="4" w:space="0"/>
      </w:tblBorders>
    </w:tblPr>
    <w:tblStylePr w:type="firstRow">
      <w:rPr>
        <w:rFonts w:ascii="Arial" w:hAnsi="Arial"/>
        <w:color w:val="F2F2F2"/>
        <w:sz w:val="22"/>
      </w:rPr>
      <w:tcPr>
        <w:shd w:val="clear" w:color="68A3D8" w:themeColor="accent1" w:themeTint="EA" w:fill="68A3D8" w:themeFill="accent1" w:themeFillTint="EA"/>
      </w:tcPr>
    </w:tblStylePr>
    <w:tblStylePr w:type="lastRow">
      <w:rPr>
        <w:rFonts w:ascii="Arial" w:hAnsi="Arial"/>
        <w:color w:val="F2F2F2"/>
        <w:sz w:val="22"/>
      </w:rPr>
      <w:tcPr>
        <w:shd w:val="clear" w:color="68A3D8" w:themeColor="accent1" w:themeTint="EA" w:fill="68A3D8" w:themeFill="accent1" w:themeFillTint="EA"/>
      </w:tcPr>
    </w:tblStylePr>
    <w:tblStylePr w:type="firstCol">
      <w:rPr>
        <w:rFonts w:ascii="Arial" w:hAnsi="Arial"/>
        <w:color w:val="F2F2F2"/>
        <w:sz w:val="22"/>
      </w:rPr>
      <w:tcPr>
        <w:shd w:val="clear" w:color="68A3D8" w:themeColor="accent1" w:themeTint="EA" w:fill="68A3D8" w:themeFill="accent1" w:themeFillTint="EA"/>
      </w:tcPr>
    </w:tblStylePr>
    <w:tblStylePr w:type="lastCol">
      <w:rPr>
        <w:rFonts w:ascii="Arial" w:hAnsi="Arial"/>
        <w:color w:val="F2F2F2"/>
        <w:sz w:val="22"/>
      </w:rPr>
      <w:tcPr>
        <w:shd w:val="clear" w:color="68A3D8" w:themeColor="accent1" w:themeTint="EA" w:fill="68A3D8"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4">
    <w:name w:val="Bordered &amp; Lined - Accent 2144"/>
    <w:basedOn w:val="21"/>
    <w:qFormat/>
    <w:uiPriority w:val="99"/>
    <w:pPr>
      <w:spacing w:after="0" w:line="240" w:lineRule="auto"/>
    </w:pPr>
    <w:rPr>
      <w:color w:val="404040"/>
    </w:rPr>
    <w:tblPr>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firstRow">
      <w:rPr>
        <w:rFonts w:ascii="Arial" w:hAnsi="Arial"/>
        <w:color w:val="F2F2F2"/>
        <w:sz w:val="22"/>
      </w:rPr>
      <w:tcPr>
        <w:shd w:val="clear" w:color="F4B285" w:themeColor="accent2" w:themeTint="97" w:fill="F4B285" w:themeFill="accent2" w:themeFillTint="97"/>
      </w:tcPr>
    </w:tblStylePr>
    <w:tblStylePr w:type="lastRow">
      <w:rPr>
        <w:rFonts w:ascii="Arial" w:hAnsi="Arial"/>
        <w:color w:val="F2F2F2"/>
        <w:sz w:val="22"/>
      </w:rPr>
      <w:tcPr>
        <w:shd w:val="clear" w:color="F4B285" w:themeColor="accent2" w:themeTint="97" w:fill="F4B285" w:themeFill="accent2" w:themeFillTint="97"/>
      </w:tcPr>
    </w:tblStylePr>
    <w:tblStylePr w:type="firstCol">
      <w:rPr>
        <w:rFonts w:ascii="Arial" w:hAnsi="Arial"/>
        <w:color w:val="F2F2F2"/>
        <w:sz w:val="22"/>
      </w:rPr>
      <w:tcPr>
        <w:shd w:val="clear" w:color="F4B285" w:themeColor="accent2" w:themeTint="97" w:fill="F4B285" w:themeFill="accent2" w:themeFillTint="97"/>
      </w:tcPr>
    </w:tblStylePr>
    <w:tblStylePr w:type="lastCol">
      <w:rPr>
        <w:rFonts w:ascii="Arial" w:hAnsi="Arial"/>
        <w:color w:val="F2F2F2"/>
        <w:sz w:val="22"/>
      </w:rPr>
      <w:tcPr>
        <w:shd w:val="clear" w:color="F4B285" w:themeColor="accent2" w:themeTint="97" w:fill="F4B28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5">
    <w:name w:val="Bordered &amp; Lined - Accent 3145"/>
    <w:basedOn w:val="21"/>
    <w:qFormat/>
    <w:uiPriority w:val="99"/>
    <w:pPr>
      <w:spacing w:after="0" w:line="240" w:lineRule="auto"/>
    </w:pPr>
    <w:rPr>
      <w:color w:val="404040"/>
    </w:rPr>
    <w:tblPr>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firstRow">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tblStylePr w:type="firstCol">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6">
    <w:name w:val="Bordered &amp; Lined - Accent 4146"/>
    <w:basedOn w:val="21"/>
    <w:qFormat/>
    <w:uiPriority w:val="99"/>
    <w:pPr>
      <w:spacing w:after="0" w:line="240" w:lineRule="auto"/>
    </w:pPr>
    <w:rPr>
      <w:color w:val="404040"/>
    </w:rPr>
    <w:tblPr>
      <w:tblBorders>
        <w:top w:val="single" w:color="947000" w:themeColor="accent4" w:themeShade="95" w:sz="4" w:space="0"/>
        <w:left w:val="single" w:color="947000" w:themeColor="accent4" w:themeShade="95" w:sz="4" w:space="0"/>
        <w:bottom w:val="single" w:color="947000" w:themeColor="accent4" w:themeShade="95" w:sz="4" w:space="0"/>
        <w:right w:val="single" w:color="947000" w:themeColor="accent4" w:themeShade="95" w:sz="4" w:space="0"/>
        <w:insideH w:val="single" w:color="947000" w:themeColor="accent4" w:themeShade="95" w:sz="4" w:space="0"/>
        <w:insideV w:val="single" w:color="947000" w:themeColor="accent4" w:themeShade="95" w:sz="4" w:space="0"/>
      </w:tblBorders>
    </w:tblPr>
    <w:tblStylePr w:type="firstRow">
      <w:rPr>
        <w:rFonts w:ascii="Arial" w:hAnsi="Arial"/>
        <w:color w:val="F2F2F2"/>
        <w:sz w:val="22"/>
      </w:rPr>
      <w:tcPr>
        <w:shd w:val="clear" w:color="FFD864" w:themeColor="accent4" w:themeTint="9A" w:fill="FFD864" w:themeFill="accent4" w:themeFillTint="9A"/>
      </w:tcPr>
    </w:tblStylePr>
    <w:tblStylePr w:type="lastRow">
      <w:rPr>
        <w:rFonts w:ascii="Arial" w:hAnsi="Arial"/>
        <w:color w:val="F2F2F2"/>
        <w:sz w:val="22"/>
      </w:rPr>
      <w:tcPr>
        <w:shd w:val="clear" w:color="FFD864" w:themeColor="accent4" w:themeTint="9A" w:fill="FFD864" w:themeFill="accent4" w:themeFillTint="9A"/>
      </w:tcPr>
    </w:tblStylePr>
    <w:tblStylePr w:type="firstCol">
      <w:rPr>
        <w:rFonts w:ascii="Arial" w:hAnsi="Arial"/>
        <w:color w:val="F2F2F2"/>
        <w:sz w:val="22"/>
      </w:rPr>
      <w:tcPr>
        <w:shd w:val="clear" w:color="FFD864" w:themeColor="accent4" w:themeTint="9A" w:fill="FFD864" w:themeFill="accent4" w:themeFillTint="9A"/>
      </w:tcPr>
    </w:tblStylePr>
    <w:tblStylePr w:type="lastCol">
      <w:rPr>
        <w:rFonts w:ascii="Arial" w:hAnsi="Arial"/>
        <w:color w:val="F2F2F2"/>
        <w:sz w:val="22"/>
      </w:rPr>
      <w:tcPr>
        <w:shd w:val="clear" w:color="FFD864" w:themeColor="accent4" w:themeTint="9A" w:fill="FFD864"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FEF2CA" w:themeColor="accent4" w:themeTint="34" w:fill="FEF2CA"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FEF2CA" w:themeColor="accent4" w:themeTint="34" w:fill="FEF2CA" w:themeFill="accent4"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7">
    <w:name w:val="Bordered &amp; Lined - Accent 5147"/>
    <w:basedOn w:val="21"/>
    <w:qFormat/>
    <w:uiPriority w:val="99"/>
    <w:pPr>
      <w:spacing w:after="0" w:line="240" w:lineRule="auto"/>
    </w:pPr>
    <w:rPr>
      <w:color w:val="404040"/>
    </w:rPr>
    <w:tblPr>
      <w:tblBorders>
        <w:top w:val="single" w:color="244175" w:themeColor="accent5" w:themeShade="95" w:sz="4" w:space="0"/>
        <w:left w:val="single" w:color="244175" w:themeColor="accent5" w:themeShade="95" w:sz="4" w:space="0"/>
        <w:bottom w:val="single" w:color="244175" w:themeColor="accent5" w:themeShade="95" w:sz="4" w:space="0"/>
        <w:right w:val="single" w:color="244175" w:themeColor="accent5" w:themeShade="95" w:sz="4" w:space="0"/>
        <w:insideH w:val="single" w:color="244175" w:themeColor="accent5" w:themeShade="95" w:sz="4" w:space="0"/>
        <w:insideV w:val="single" w:color="244175" w:themeColor="accent5" w:themeShade="95" w:sz="4" w:space="0"/>
      </w:tblBorders>
    </w:tblPr>
    <w:tblStylePr w:type="firstRow">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tblStylePr w:type="firstCol">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cPr>
        <w:shd w:val="clear" w:color="D8E2F2" w:themeColor="accent5" w:themeTint="34" w:fill="D8E2F2"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8E2F2" w:themeColor="accent5" w:themeTint="34" w:fill="D8E2F2" w:themeFill="accent5"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8">
    <w:name w:val="Bordered &amp; Lined - Accent 6148"/>
    <w:basedOn w:val="21"/>
    <w:qFormat/>
    <w:uiPriority w:val="99"/>
    <w:pPr>
      <w:spacing w:after="0" w:line="240" w:lineRule="auto"/>
    </w:pPr>
    <w:rPr>
      <w:color w:val="404040"/>
    </w:rPr>
    <w:tblPr>
      <w:tblBorders>
        <w:top w:val="single" w:color="416529" w:themeColor="accent6" w:themeShade="95" w:sz="4" w:space="0"/>
        <w:left w:val="single" w:color="416529" w:themeColor="accent6" w:themeShade="95" w:sz="4" w:space="0"/>
        <w:bottom w:val="single" w:color="416529" w:themeColor="accent6" w:themeShade="95" w:sz="4" w:space="0"/>
        <w:right w:val="single" w:color="416529" w:themeColor="accent6" w:themeShade="95" w:sz="4" w:space="0"/>
        <w:insideH w:val="single" w:color="416529" w:themeColor="accent6" w:themeShade="95" w:sz="4" w:space="0"/>
        <w:insideV w:val="single" w:color="416529" w:themeColor="accent6" w:themeShade="95" w:sz="4" w:space="0"/>
      </w:tblBorders>
    </w:tblPr>
    <w:tblStylePr w:type="firstRow">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tblStylePr w:type="firstCol">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9">
    <w:name w:val="Bordered149"/>
    <w:basedOn w:val="21"/>
    <w:qFormat/>
    <w:uiPriority w:val="99"/>
    <w:pPr>
      <w:spacing w:after="0" w:line="240" w:lineRule="auto"/>
    </w:pPr>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Vert"/>
    <w:tblStylePr w:type="band2Vert"/>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50">
    <w:name w:val="Bordered - Accent 1150"/>
    <w:basedOn w:val="21"/>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rFonts w:ascii="Arial" w:hAnsi="Arial"/>
        <w:color w:val="404040"/>
        <w:sz w:val="22"/>
      </w:rPr>
      <w:tcPr>
        <w:tcBorders>
          <w:bottom w:val="single" w:color="5B9BD5" w:themeColor="accent1" w:sz="12" w:space="0"/>
        </w:tcBorders>
      </w:tcPr>
    </w:tblStylePr>
    <w:tblStylePr w:type="lastRow">
      <w:rPr>
        <w:rFonts w:ascii="Arial" w:hAnsi="Arial"/>
        <w:color w:val="404040"/>
        <w:sz w:val="22"/>
      </w:rPr>
      <w:tcPr>
        <w:tcBorders>
          <w:top w:val="single" w:color="5B9BD5"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5B9BD5" w:themeColor="accent1" w:sz="12" w:space="0"/>
        </w:tcBorders>
      </w:tc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51">
    <w:name w:val="Bordered - Accent 2151"/>
    <w:basedOn w:val="21"/>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rFonts w:ascii="Arial" w:hAnsi="Arial"/>
        <w:color w:val="404040"/>
        <w:sz w:val="22"/>
      </w:rPr>
      <w:tcPr>
        <w:tcBorders>
          <w:bottom w:val="single" w:color="F4B285" w:themeColor="accent2" w:themeTint="97" w:sz="12" w:space="0"/>
        </w:tcBorders>
      </w:tcPr>
    </w:tblStylePr>
    <w:tblStylePr w:type="lastRow">
      <w:rPr>
        <w:rFonts w:ascii="Arial" w:hAnsi="Arial"/>
        <w:color w:val="404040"/>
        <w:sz w:val="22"/>
      </w:rPr>
      <w:tcPr>
        <w:tcBorders>
          <w:top w:val="single" w:color="F4B28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4B285" w:themeColor="accent2" w:themeTint="97" w:sz="12" w:space="0"/>
        </w:tcBorders>
      </w:tc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52">
    <w:name w:val="Bordered - Accent 3152"/>
    <w:basedOn w:val="21"/>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rFonts w:ascii="Arial" w:hAnsi="Arial"/>
        <w:color w:val="404040"/>
        <w:sz w:val="22"/>
      </w:rPr>
      <w:tcPr>
        <w:tcBorders>
          <w:bottom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9C9C9" w:themeColor="accent3" w:themeTint="98" w:sz="12" w:space="0"/>
        </w:tcBorders>
      </w:tc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53">
    <w:name w:val="Bordered - Accent 4153"/>
    <w:basedOn w:val="21"/>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rFonts w:ascii="Arial" w:hAnsi="Arial"/>
        <w:color w:val="404040"/>
        <w:sz w:val="22"/>
      </w:rPr>
      <w:tcPr>
        <w:tcBorders>
          <w:bottom w:val="single" w:color="FFD864" w:themeColor="accent4" w:themeTint="9A" w:sz="12" w:space="0"/>
        </w:tcBorders>
      </w:tcPr>
    </w:tblStylePr>
    <w:tblStylePr w:type="lastRow">
      <w:rPr>
        <w:rFonts w:ascii="Arial" w:hAnsi="Arial"/>
        <w:color w:val="404040"/>
        <w:sz w:val="22"/>
      </w:rPr>
      <w:tcPr>
        <w:tcBorders>
          <w:top w:val="single" w:color="FFD864"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FD864" w:themeColor="accent4" w:themeTint="9A" w:sz="12" w:space="0"/>
        </w:tcBorders>
      </w:tc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54">
    <w:name w:val="Bordered - Accent 5154"/>
    <w:basedOn w:val="21"/>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rFonts w:ascii="Arial" w:hAnsi="Arial"/>
        <w:color w:val="404040"/>
        <w:sz w:val="22"/>
      </w:rPr>
      <w:tcPr>
        <w:tcBorders>
          <w:bottom w:val="single" w:color="8EA9DB" w:themeColor="accent5" w:themeTint="9A" w:sz="12" w:space="0"/>
        </w:tcBorders>
      </w:tcPr>
    </w:tblStylePr>
    <w:tblStylePr w:type="lastRow">
      <w:rPr>
        <w:rFonts w:ascii="Arial" w:hAnsi="Arial"/>
        <w:color w:val="404040"/>
        <w:sz w:val="22"/>
      </w:rPr>
      <w:tcPr>
        <w:tcBorders>
          <w:top w:val="single" w:color="8EA9DB"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8EA9DB" w:themeColor="accent5" w:themeTint="9A" w:sz="12" w:space="0"/>
        </w:tcBorders>
      </w:tc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55">
    <w:name w:val="Bordered - Accent 6155"/>
    <w:basedOn w:val="21"/>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rFonts w:ascii="Arial" w:hAnsi="Arial"/>
        <w:color w:val="404040"/>
        <w:sz w:val="22"/>
      </w:rPr>
      <w:tcPr>
        <w:tcBorders>
          <w:bottom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A9D08E" w:themeColor="accent6" w:themeTint="98" w:sz="12" w:space="0"/>
        </w:tcBorders>
      </w:tc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56">
    <w:name w:val="Heading 1 Char156"/>
    <w:basedOn w:val="23"/>
    <w:link w:val="2"/>
    <w:qFormat/>
    <w:uiPriority w:val="9"/>
    <w:rPr>
      <w:rFonts w:ascii="Arial" w:hAnsi="Arial" w:eastAsia="Arial" w:cs="Arial"/>
      <w:color w:val="2E75B6" w:themeColor="accent1" w:themeShade="BF"/>
      <w:sz w:val="40"/>
      <w:szCs w:val="4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57">
    <w:name w:val="Heading 2 Char157"/>
    <w:basedOn w:val="23"/>
    <w:link w:val="3"/>
    <w:qFormat/>
    <w:uiPriority w:val="9"/>
    <w:rPr>
      <w:rFonts w:ascii="Arial" w:hAnsi="Arial" w:eastAsia="Arial" w:cs="Arial"/>
      <w:color w:val="2E75B6" w:themeColor="accent1" w:themeShade="BF"/>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58">
    <w:name w:val="Heading 3 Char158"/>
    <w:basedOn w:val="23"/>
    <w:link w:val="4"/>
    <w:qFormat/>
    <w:uiPriority w:val="9"/>
    <w:rPr>
      <w:rFonts w:ascii="Arial" w:hAnsi="Arial" w:eastAsia="Arial" w:cs="Arial"/>
      <w:color w:val="2E75B6" w:themeColor="accent1" w:themeShade="BF"/>
      <w:sz w:val="28"/>
      <w:szCs w:val="2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59">
    <w:name w:val="Heading 4 Char159"/>
    <w:basedOn w:val="23"/>
    <w:link w:val="5"/>
    <w:qFormat/>
    <w:uiPriority w:val="9"/>
    <w:rPr>
      <w:rFonts w:ascii="Arial" w:hAnsi="Arial" w:eastAsia="Arial" w:cs="Arial"/>
      <w:i/>
      <w:iCs/>
      <w:color w:val="2E75B6"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60">
    <w:name w:val="Heading 5 Char160"/>
    <w:basedOn w:val="23"/>
    <w:link w:val="6"/>
    <w:qFormat/>
    <w:uiPriority w:val="9"/>
    <w:rPr>
      <w:rFonts w:ascii="Arial" w:hAnsi="Arial" w:eastAsia="Arial" w:cs="Arial"/>
      <w:color w:val="2E75B6"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61">
    <w:name w:val="Heading 6 Char161"/>
    <w:basedOn w:val="23"/>
    <w:link w:val="7"/>
    <w:qFormat/>
    <w:uiPriority w:val="9"/>
    <w:rPr>
      <w:rFonts w:ascii="Arial" w:hAnsi="Arial" w:eastAsia="Arial" w:cs="Arial"/>
      <w:i/>
      <w:iCs/>
      <w:color w:val="595959" w:themeColor="text1" w:themeTint="A6"/>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62">
    <w:name w:val="Heading 7 Char162"/>
    <w:basedOn w:val="23"/>
    <w:link w:val="8"/>
    <w:qFormat/>
    <w:uiPriority w:val="9"/>
    <w:rPr>
      <w:rFonts w:ascii="Arial" w:hAnsi="Arial" w:eastAsia="Arial" w:cs="Arial"/>
      <w:color w:val="595959" w:themeColor="text1" w:themeTint="A6"/>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63">
    <w:name w:val="Heading 8 Char163"/>
    <w:basedOn w:val="23"/>
    <w:link w:val="9"/>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64">
    <w:name w:val="Heading 9 Char164"/>
    <w:basedOn w:val="23"/>
    <w:link w:val="10"/>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65">
    <w:name w:val="Title Char165"/>
    <w:basedOn w:val="23"/>
    <w:link w:val="20"/>
    <w:qFormat/>
    <w:uiPriority w:val="10"/>
    <w:rPr>
      <w:rFonts w:ascii="Arial" w:hAnsi="Arial" w:eastAsia="Arial" w:cs="Arial"/>
      <w:spacing w:val="-10"/>
      <w:sz w:val="56"/>
      <w:szCs w:val="56"/>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66">
    <w:name w:val="Subtitle Char166"/>
    <w:basedOn w:val="23"/>
    <w:link w:val="17"/>
    <w:qFormat/>
    <w:uiPriority w:val="11"/>
    <w:rPr>
      <w:color w:val="595959" w:themeColor="text1" w:themeTint="A6"/>
      <w:spacing w:val="15"/>
      <w:sz w:val="28"/>
      <w:szCs w:val="28"/>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67">
    <w:name w:val="Quote167"/>
    <w:basedOn w:val="1"/>
    <w:next w:val="1"/>
    <w:link w:val="168"/>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68">
    <w:name w:val="Quote Char168"/>
    <w:basedOn w:val="23"/>
    <w:link w:val="167"/>
    <w:qFormat/>
    <w:uiPriority w:val="29"/>
    <w:rPr>
      <w:i/>
      <w:iCs/>
      <w:color w:val="404040" w:themeColor="text1" w:themeTint="BF"/>
      <w14:textFill>
        <w14:solidFill>
          <w14:schemeClr w14:val="tx1">
            <w14:lumMod w14:val="75000"/>
            <w14:lumOff w14:val="2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69">
    <w:name w:val="List Paragraph169"/>
    <w:basedOn w:val="1"/>
    <w:qFormat/>
    <w:uiPriority w:val="34"/>
    <w:pPr>
      <w:ind w:left="720"/>
      <w:contextualSpacing/>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70">
    <w:name w:val="Intense Emphasis170"/>
    <w:basedOn w:val="23"/>
    <w:qFormat/>
    <w:uiPriority w:val="21"/>
    <w:rPr>
      <w:i/>
      <w:iCs/>
      <w:color w:val="2E75B6"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71">
    <w:name w:val="Intense Quote171"/>
    <w:basedOn w:val="1"/>
    <w:next w:val="1"/>
    <w:link w:val="172"/>
    <w:qFormat/>
    <w:uiPriority w:val="30"/>
    <w:pPr>
      <w:pBdr>
        <w:top w:val="single" w:color="2E75B5" w:themeColor="accent1" w:themeShade="BF" w:sz="4" w:space="10"/>
        <w:bottom w:val="single" w:color="2E75B5" w:themeColor="accent1" w:themeShade="BF" w:sz="4" w:space="10"/>
      </w:pBdr>
      <w:spacing w:before="360" w:after="360"/>
      <w:ind w:left="864" w:right="864"/>
      <w:jc w:val="center"/>
    </w:pPr>
    <w:rPr>
      <w:i/>
      <w:iCs/>
      <w:color w:val="2E75B6"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72">
    <w:name w:val="Intense Quote Char172"/>
    <w:basedOn w:val="23"/>
    <w:link w:val="171"/>
    <w:qFormat/>
    <w:uiPriority w:val="30"/>
    <w:rPr>
      <w:i/>
      <w:iCs/>
      <w:color w:val="2E75B6"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73">
    <w:name w:val="Intense Reference173"/>
    <w:basedOn w:val="23"/>
    <w:qFormat/>
    <w:uiPriority w:val="32"/>
    <w:rPr>
      <w:b/>
      <w:bCs/>
      <w:smallCaps/>
      <w:color w:val="2E75B6" w:themeColor="accent1" w:themeShade="BF"/>
      <w:spacing w:val="5"/>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74">
    <w:name w:val="No Spacing174"/>
    <w:basedOn w:val="1"/>
    <w:qFormat/>
    <w:uiPriority w:val="1"/>
    <w:pPr>
      <w:spacing w:after="0" w:line="240" w:lineRule="auto"/>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75">
    <w:name w:val="Subtle Emphasis175"/>
    <w:basedOn w:val="23"/>
    <w:qFormat/>
    <w:uiPriority w:val="19"/>
    <w:rPr>
      <w:i/>
      <w:iCs/>
      <w:color w:val="404040" w:themeColor="text1" w:themeTint="BF"/>
      <w14:textFill>
        <w14:solidFill>
          <w14:schemeClr w14:val="tx1">
            <w14:lumMod w14:val="75000"/>
            <w14:lumOff w14:val="2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76">
    <w:name w:val="Subtle Reference176"/>
    <w:basedOn w:val="23"/>
    <w:qFormat/>
    <w:uiPriority w:val="31"/>
    <w:rPr>
      <w:smallCaps/>
      <w:color w:val="595959" w:themeColor="text1" w:themeTint="A6"/>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77">
    <w:name w:val="Book Title177"/>
    <w:basedOn w:val="23"/>
    <w:qFormat/>
    <w:uiPriority w:val="33"/>
    <w:rPr>
      <w:b/>
      <w:bCs/>
      <w:i/>
      <w:iCs/>
      <w:spacing w:val="5"/>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78">
    <w:name w:val="Header Char178"/>
    <w:basedOn w:val="23"/>
    <w:link w:val="16"/>
    <w:qFormat/>
    <w:uiPriority w:val="99"/>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79">
    <w:name w:val="Footer Char179"/>
    <w:basedOn w:val="23"/>
    <w:link w:val="15"/>
    <w:qFormat/>
    <w:uiPriority w:val="99"/>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80">
    <w:name w:val="Footnote Text Char180"/>
    <w:basedOn w:val="23"/>
    <w:link w:val="18"/>
    <w:semiHidden/>
    <w:qFormat/>
    <w:uiPriority w:val="99"/>
    <w:rPr>
      <w:sz w:val="20"/>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81">
    <w:name w:val="Endnote Text Char181"/>
    <w:basedOn w:val="23"/>
    <w:link w:val="14"/>
    <w:semiHidden/>
    <w:qFormat/>
    <w:uiPriority w:val="99"/>
    <w:rPr>
      <w:sz w:val="20"/>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182">
    <w:name w:val="TOC Heading182"/>
    <w:unhideWhenUsed/>
    <w:qFormat/>
    <w:uiPriority w:val="39"/>
    <w:rPr>
      <w:rFonts w:hint="default" w:ascii="Times New Roman" w:hAnsi="Times New Roman" w:eastAsia="宋体" w:cs="Times New Roman"/>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183">
    <w:name w:val="Default183"/>
    <w:qFormat/>
    <w:uiPriority w:val="0"/>
    <w:pPr>
      <w:widowControl w:val="0"/>
    </w:pPr>
    <w:rPr>
      <w:rFonts w:hint="default" w:ascii="宋体" w:hAnsi="Times New Roman" w:eastAsia="宋体" w:cs="宋体"/>
      <w:color w:val="000000"/>
      <w:sz w:val="24"/>
      <w:szCs w:val="24"/>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58b1f9d7">
    <w:name w:val="Normal58b1f9d7"/>
    <w:qFormat/>
    <w:uiPriority w:val="0"/>
    <w:pPr>
      <w:widowControl w:val="0"/>
      <w:jc w:val="both"/>
    </w:pPr>
    <w:rPr>
      <w:rFonts w:ascii="Calibri" w:hAnsi="Calibri"/>
      <w:kern w:val="2"/>
      <w:sz w:val="21"/>
      <w:szCs w:val="22"/>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b01a09e2">
    <w:name w:val="heading 2b01a09e2"/>
    <w:basedOn w:val="58b1f9d7"/>
    <w:next w:val="1"/>
    <w:link w:val="17"/>
    <w:qFormat/>
    <w:uiPriority w:val="0"/>
    <w:pPr>
      <w:keepNext/>
      <w:keepLines/>
      <w:spacing w:before="260" w:after="260" w:line="416" w:lineRule="auto"/>
      <w:outlineLvl w:val="1"/>
    </w:pPr>
    <w:rPr>
      <w:rFonts w:ascii="Arial" w:hAnsi="Arial" w:eastAsia="黑体"/>
      <w:b/>
      <w:bCs/>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9da0f91b">
    <w:name w:val="Default Paragraph Font9da0f91b"/>
    <w:link w:val="12"/>
    <w:unhideWhenUsed/>
    <w:qFormat/>
    <w:uiPriority w:val="1"/>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ebaed66f">
    <w:name w:val="Normal Tableebaed66f"/>
    <w:unhideWhenUsed/>
    <w:qFormat/>
    <w:uiPriority w:val="99"/>
    <w:tblPr>
      <w:tblStyle w:val="9"/>
      <w:tblCellMar>
        <w:top w:w="0" w:type="dxa"/>
        <w:left w:w="108" w:type="dxa"/>
        <w:bottom w:w="0" w:type="dxa"/>
        <w:right w:w="108" w:type="dxa"/>
      </w:tblCellMar>
    </w:tbl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d92e6e98">
    <w:name w:val="annotation textd92e6e98"/>
    <w:basedOn w:val="58b1f9d7"/>
    <w:link w:val="18"/>
    <w:qFormat/>
    <w:uiPriority w:val="0"/>
    <w:pPr>
      <w:jc w:val="left"/>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60b97aa7">
    <w:name w:val="Body Text Indent60b97aa7"/>
    <w:basedOn w:val="58b1f9d7"/>
    <w:qFormat/>
    <w:uiPriority w:val="0"/>
    <w:pPr>
      <w:adjustRightInd w:val="0"/>
      <w:spacing w:line="360" w:lineRule="atLeast"/>
      <w:ind w:firstLine="480"/>
    </w:pPr>
    <w:rPr>
      <w:rFonts w:ascii="Times New Roman" w:hAnsi="Times New Roman"/>
      <w:sz w:val="24"/>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da668d9c">
    <w:name w:val="Balloon Textda668d9c"/>
    <w:basedOn w:val="58b1f9d7"/>
    <w:link w:val="19"/>
    <w:qFormat/>
    <w:uiPriority w:val="0"/>
    <w:rPr>
      <w:rFonts w:ascii="Times New Roman" w:hAnsi="Times New Roman"/>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f54e9ae9">
    <w:name w:val="footerf54e9ae9"/>
    <w:basedOn w:val="58b1f9d7"/>
    <w:link w:val="20"/>
    <w:qFormat/>
    <w:uiPriority w:val="0"/>
    <w:pPr>
      <w:tabs>
        <w:tab w:val="center" w:pos="4153"/>
        <w:tab w:val="right" w:pos="8306"/>
      </w:tabs>
      <w:snapToGrid w:val="0"/>
      <w:jc w:val="left"/>
    </w:pPr>
    <w:rPr>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dc437a71">
    <w:name w:val="headerdc437a71"/>
    <w:basedOn w:val="58b1f9d7"/>
    <w:link w:val="21"/>
    <w:qFormat/>
    <w:uiPriority w:val="0"/>
    <w:pPr>
      <w:pBdr>
        <w:bottom w:val="single" w:color="auto" w:sz="6" w:space="1"/>
      </w:pBdr>
      <w:tabs>
        <w:tab w:val="center" w:pos="4153"/>
        <w:tab w:val="right" w:pos="8306"/>
      </w:tabs>
      <w:snapToGrid w:val="0"/>
      <w:jc w:val="center"/>
    </w:pPr>
    <w:rPr>
      <w:rFonts w:ascii="Times New Roman" w:hAnsi="Times New Roman"/>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90d2e7ff">
    <w:name w:val="annotation subject90d2e7ff"/>
    <w:basedOn w:val="d92e6e98"/>
    <w:next w:val="3"/>
    <w:semiHidden/>
    <w:qFormat/>
    <w:uiPriority w:val="0"/>
    <w:rPr>
      <w:b/>
      <w:bCs/>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14c0645d">
    <w:name w:val="Table Grid14c0645d"/>
    <w:basedOn w:val="ebaed66f"/>
    <w:qFormat/>
    <w:uiPriority w:val="0"/>
    <w:pPr>
      <w:widowControl w:val="0"/>
      <w:jc w:val="both"/>
    </w:pPr>
    <w:tblPr>
      <w:tblStyle w:val="9"/>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0e6cb308">
    <w:name w:val="Char Char Char Char Char Char Char Char Char Char Char Char0e6cb308"/>
    <w:basedOn w:val="58b1f9d7"/>
    <w:link w:val="11"/>
    <w:qFormat/>
    <w:uiPriority w:val="0"/>
    <w:pPr>
      <w:widowControl/>
      <w:spacing w:after="160" w:line="240" w:lineRule="exact"/>
      <w:jc w:val="left"/>
    </w:pPr>
    <w:rPr>
      <w:rFonts w:ascii="Tahoma" w:hAnsi="Tahoma" w:cs="Tahoma"/>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15d52935">
    <w:name w:val="Strong15d52935"/>
    <w:qFormat/>
    <w:uiPriority w:val="0"/>
    <w:rPr>
      <w:b/>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67a1c4f1">
    <w:name w:val="page number67a1c4f1"/>
    <w:qFormat/>
    <w:uiPriority w:val="0"/>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24d42652">
    <w:name w:val="Hyperlink24d42652"/>
    <w:qFormat/>
    <w:uiPriority w:val="0"/>
    <w:rPr>
      <w:color w:val="0000FF"/>
      <w:u w:val="single"/>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350fa901">
    <w:name w:val="annotation reference350fa901"/>
    <w:qFormat/>
    <w:uiPriority w:val="0"/>
    <w:rPr>
      <w:sz w:val="21"/>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25cc8dc">
    <w:name w:val="标题 2 字符125cc8dc"/>
    <w:link w:val="2"/>
    <w:qFormat/>
    <w:uiPriority w:val="0"/>
    <w:rPr>
      <w:rFonts w:ascii="Arial" w:hAnsi="Arial" w:eastAsia="黑体"/>
      <w:b/>
      <w:bCs/>
      <w:kern w:val="2"/>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e49bf390">
    <w:name w:val="批注文字 字符e49bf390"/>
    <w:link w:val="3"/>
    <w:qFormat/>
    <w:uiPriority w:val="0"/>
    <w:rPr>
      <w:rFonts w:ascii="Calibri" w:hAnsi="Calibri"/>
      <w:kern w:val="2"/>
      <w:sz w:val="21"/>
      <w:szCs w:val="2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a7cda91f">
    <w:name w:val="批注框文本 字符a7cda91f"/>
    <w:link w:val="5"/>
    <w:qFormat/>
    <w:uiPriority w:val="0"/>
    <w:rPr>
      <w:kern w:val="2"/>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b32d55e">
    <w:name w:val="页脚 字符1b32d55e"/>
    <w:link w:val="6"/>
    <w:qFormat/>
    <w:uiPriority w:val="99"/>
    <w:rPr>
      <w:rFonts w:ascii="Calibri" w:hAnsi="Calibri"/>
      <w:kern w:val="2"/>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bdbeb43e">
    <w:name w:val="页眉 字符bdbeb43e"/>
    <w:link w:val="7"/>
    <w:qFormat/>
    <w:uiPriority w:val="0"/>
    <w:rPr>
      <w:kern w:val="2"/>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a6293082">
    <w:name w:val="Defaulta6293082"/>
    <w:qFormat/>
    <w:uiPriority w:val="0"/>
    <w:pPr>
      <w:widowControl w:val="0"/>
      <w:autoSpaceDE w:val="0"/>
      <w:autoSpaceDN w:val="0"/>
      <w:adjustRightInd w:val="0"/>
    </w:pPr>
    <w:rPr>
      <w:rFonts w:ascii="宋体" w:cs="宋体"/>
      <w:color w:val="000000"/>
      <w:sz w:val="24"/>
      <w:szCs w:val="24"/>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fb23d075">
    <w:name w:val="ecxmsonormalfb23d075"/>
    <w:basedOn w:val="58b1f9d7"/>
    <w:qFormat/>
    <w:uiPriority w:val="0"/>
    <w:pPr>
      <w:widowControl/>
      <w:spacing w:after="324"/>
      <w:jc w:val="left"/>
    </w:pPr>
    <w:rPr>
      <w:rFonts w:ascii="宋体" w:hAnsi="宋体" w:cs="宋体"/>
      <w:kern w:val="0"/>
      <w:sz w:val="24"/>
      <w:szCs w:val="2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e953a68c">
    <w:name w:val="_Style 22e953a68c"/>
    <w:semiHidden/>
    <w:qFormat/>
    <w:uiPriority w:val="99"/>
    <w:rPr>
      <w:rFonts w:ascii="Calibri" w:hAnsi="Calibri"/>
      <w:kern w:val="2"/>
      <w:sz w:val="21"/>
      <w:szCs w:val="22"/>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b7ed0cec">
    <w:name w:val="Normalb7ed0cec"/>
    <w:qFormat/>
    <w:uiPriority w:val="0"/>
    <w:pPr>
      <w:widowControl w:val="0"/>
      <w:jc w:val="both"/>
    </w:pPr>
    <w:rPr>
      <w:rFonts w:ascii="Calibri" w:hAnsi="Calibri"/>
      <w:kern w:val="2"/>
      <w:sz w:val="21"/>
      <w:szCs w:val="22"/>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34ad16b6">
    <w:name w:val="heading 234ad16b6"/>
    <w:basedOn w:val="b7ed0cec"/>
    <w:next w:val="1"/>
    <w:link w:val="16"/>
    <w:qFormat/>
    <w:uiPriority w:val="0"/>
    <w:pPr>
      <w:keepNext/>
      <w:keepLines/>
      <w:spacing w:before="260" w:after="260" w:line="416" w:lineRule="auto"/>
      <w:outlineLvl w:val="1"/>
    </w:pPr>
    <w:rPr>
      <w:rFonts w:ascii="Arial" w:hAnsi="Arial" w:eastAsia="黑体"/>
      <w:b/>
      <w:bCs/>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fbef4008">
    <w:name w:val="Default Paragraph Fontfbef4008"/>
    <w:link w:val="12"/>
    <w:unhideWhenUsed/>
    <w:qFormat/>
    <w:uiPriority w:val="1"/>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1d7f6115">
    <w:name w:val="Normal Table1d7f6115"/>
    <w:unhideWhenUsed/>
    <w:qFormat/>
    <w:uiPriority w:val="99"/>
    <w:tblPr>
      <w:tblStyle w:val="9"/>
      <w:tblCellMar>
        <w:top w:w="0" w:type="dxa"/>
        <w:left w:w="108" w:type="dxa"/>
        <w:bottom w:w="0" w:type="dxa"/>
        <w:right w:w="108" w:type="dxa"/>
      </w:tblCellMar>
    </w:tbl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51144956">
    <w:name w:val="annotation text51144956"/>
    <w:basedOn w:val="b7ed0cec"/>
    <w:link w:val="17"/>
    <w:qFormat/>
    <w:uiPriority w:val="0"/>
    <w:pPr>
      <w:jc w:val="left"/>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e80786d1">
    <w:name w:val="Body Text Indente80786d1"/>
    <w:basedOn w:val="b7ed0cec"/>
    <w:qFormat/>
    <w:uiPriority w:val="0"/>
    <w:pPr>
      <w:adjustRightInd w:val="0"/>
      <w:spacing w:line="360" w:lineRule="atLeast"/>
      <w:ind w:firstLine="480"/>
    </w:pPr>
    <w:rPr>
      <w:rFonts w:ascii="Times New Roman" w:hAnsi="Times New Roman"/>
      <w:sz w:val="24"/>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d8a3437">
    <w:name w:val="Balloon Text1d8a3437"/>
    <w:basedOn w:val="b7ed0cec"/>
    <w:link w:val="18"/>
    <w:qFormat/>
    <w:uiPriority w:val="0"/>
    <w:rPr>
      <w:rFonts w:ascii="Times New Roman" w:hAnsi="Times New Roman"/>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b782efb1">
    <w:name w:val="footerb782efb1"/>
    <w:basedOn w:val="b7ed0cec"/>
    <w:link w:val="19"/>
    <w:qFormat/>
    <w:uiPriority w:val="0"/>
    <w:pPr>
      <w:tabs>
        <w:tab w:val="center" w:pos="4153"/>
        <w:tab w:val="right" w:pos="8306"/>
      </w:tabs>
      <w:snapToGrid w:val="0"/>
      <w:jc w:val="left"/>
    </w:pPr>
    <w:rPr>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d83d6839">
    <w:name w:val="headerd83d6839"/>
    <w:basedOn w:val="b7ed0cec"/>
    <w:link w:val="20"/>
    <w:qFormat/>
    <w:uiPriority w:val="0"/>
    <w:pPr>
      <w:pBdr>
        <w:bottom w:val="single" w:color="auto" w:sz="6" w:space="1"/>
      </w:pBdr>
      <w:tabs>
        <w:tab w:val="center" w:pos="4153"/>
        <w:tab w:val="right" w:pos="8306"/>
      </w:tabs>
      <w:snapToGrid w:val="0"/>
      <w:jc w:val="center"/>
    </w:pPr>
    <w:rPr>
      <w:rFonts w:ascii="Times New Roman" w:hAnsi="Times New Roman"/>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03c5044a">
    <w:name w:val="annotation subject03c5044a"/>
    <w:basedOn w:val="51144956"/>
    <w:next w:val="3"/>
    <w:semiHidden/>
    <w:qFormat/>
    <w:uiPriority w:val="0"/>
    <w:rPr>
      <w:b/>
      <w:bCs/>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2186c5ef">
    <w:name w:val="Table Grid2186c5ef"/>
    <w:basedOn w:val="1d7f6115"/>
    <w:qFormat/>
    <w:uiPriority w:val="0"/>
    <w:pPr>
      <w:widowControl w:val="0"/>
      <w:jc w:val="both"/>
    </w:pPr>
    <w:tblPr>
      <w:tblStyle w:val="9"/>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d3645e6f">
    <w:name w:val="Char Char Char Char Char Char Char Char Char Char Char Chard3645e6f"/>
    <w:basedOn w:val="b7ed0cec"/>
    <w:link w:val="11"/>
    <w:qFormat/>
    <w:uiPriority w:val="0"/>
    <w:pPr>
      <w:widowControl/>
      <w:spacing w:after="160" w:line="240" w:lineRule="exact"/>
      <w:jc w:val="left"/>
    </w:pPr>
    <w:rPr>
      <w:rFonts w:ascii="Tahoma" w:hAnsi="Tahoma" w:cs="Tahoma"/>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23c97866">
    <w:name w:val="page number23c97866"/>
    <w:qFormat/>
    <w:uiPriority w:val="0"/>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9fadc33c">
    <w:name w:val="Hyperlink9fadc33c"/>
    <w:qFormat/>
    <w:uiPriority w:val="0"/>
    <w:rPr>
      <w:color w:val="0000FF"/>
      <w:u w:val="single"/>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5bc2d32e">
    <w:name w:val="annotation reference5bc2d32e"/>
    <w:qFormat/>
    <w:uiPriority w:val="0"/>
    <w:rPr>
      <w:sz w:val="21"/>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2628819a">
    <w:name w:val="标题 2 字符2628819a"/>
    <w:link w:val="2"/>
    <w:qFormat/>
    <w:uiPriority w:val="0"/>
    <w:rPr>
      <w:rFonts w:ascii="Arial" w:hAnsi="Arial" w:eastAsia="黑体"/>
      <w:b/>
      <w:bCs/>
      <w:kern w:val="2"/>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bb14e6d7">
    <w:name w:val="批注文字 字符bb14e6d7"/>
    <w:link w:val="3"/>
    <w:qFormat/>
    <w:uiPriority w:val="0"/>
    <w:rPr>
      <w:rFonts w:ascii="Calibri" w:hAnsi="Calibri"/>
      <w:kern w:val="2"/>
      <w:sz w:val="21"/>
      <w:szCs w:val="2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61fc8705">
    <w:name w:val="批注框文本 字符61fc8705"/>
    <w:link w:val="5"/>
    <w:qFormat/>
    <w:uiPriority w:val="0"/>
    <w:rPr>
      <w:kern w:val="2"/>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801f0aa1">
    <w:name w:val="页脚 字符801f0aa1"/>
    <w:link w:val="6"/>
    <w:qFormat/>
    <w:uiPriority w:val="99"/>
    <w:rPr>
      <w:rFonts w:ascii="Calibri" w:hAnsi="Calibri"/>
      <w:kern w:val="2"/>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5a5f302c">
    <w:name w:val="页眉 字符5a5f302c"/>
    <w:link w:val="7"/>
    <w:qFormat/>
    <w:uiPriority w:val="0"/>
    <w:rPr>
      <w:kern w:val="2"/>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32460d49">
    <w:name w:val="Default32460d49"/>
    <w:qFormat/>
    <w:uiPriority w:val="0"/>
    <w:pPr>
      <w:widowControl w:val="0"/>
      <w:autoSpaceDE w:val="0"/>
      <w:autoSpaceDN w:val="0"/>
      <w:adjustRightInd w:val="0"/>
    </w:pPr>
    <w:rPr>
      <w:rFonts w:ascii="宋体" w:cs="宋体"/>
      <w:color w:val="000000"/>
      <w:sz w:val="24"/>
      <w:szCs w:val="24"/>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c913d5f1">
    <w:name w:val="_Style 21c913d5f1"/>
    <w:semiHidden/>
    <w:qFormat/>
    <w:uiPriority w:val="99"/>
    <w:rPr>
      <w:rFonts w:ascii="Calibri" w:hAnsi="Calibri"/>
      <w:kern w:val="2"/>
      <w:sz w:val="21"/>
      <w:szCs w:val="22"/>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9128f2e2">
    <w:name w:val="ecxmsonormal9128f2e2"/>
    <w:basedOn w:val="b7ed0cec"/>
    <w:qFormat/>
    <w:uiPriority w:val="0"/>
    <w:pPr>
      <w:widowControl/>
      <w:spacing w:after="324"/>
      <w:jc w:val="left"/>
    </w:pPr>
    <w:rPr>
      <w:rFonts w:ascii="宋体" w:hAnsi="宋体" w:cs="宋体"/>
      <w:kern w:val="0"/>
      <w:sz w:val="24"/>
      <w:szCs w:val="2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bd1d9df9">
    <w:name w:val="Normalbd1d9df9"/>
    <w:qFormat/>
    <w:uiPriority w:val="0"/>
    <w:pPr>
      <w:widowControl w:val="0"/>
      <w:jc w:val="both"/>
    </w:pPr>
    <w:rPr>
      <w:rFonts w:ascii="Calibri" w:hAnsi="Calibri" w:cs="黑体"/>
      <w:kern w:val="2"/>
      <w:sz w:val="21"/>
      <w:szCs w:val="22"/>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958e97f5">
    <w:name w:val="heading 1958e97f5"/>
    <w:basedOn w:val="bd1d9df9"/>
    <w:next w:val="1"/>
    <w:link w:val="14"/>
    <w:qFormat/>
    <w:uiPriority w:val="9"/>
    <w:pPr>
      <w:keepNext/>
      <w:keepLines/>
      <w:spacing w:line="560" w:lineRule="exact"/>
      <w:outlineLvl w:val="0"/>
    </w:pPr>
    <w:rPr>
      <w:rFonts w:eastAsia="黑体"/>
      <w:b/>
      <w:bCs/>
      <w:kern w:val="44"/>
      <w:sz w:val="32"/>
      <w:szCs w:val="4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8cfc357">
    <w:name w:val="heading 218cfc357"/>
    <w:basedOn w:val="bd1d9df9"/>
    <w:next w:val="1"/>
    <w:link w:val="15"/>
    <w:qFormat/>
    <w:uiPriority w:val="9"/>
    <w:pPr>
      <w:keepNext/>
      <w:keepLines/>
      <w:spacing w:line="560" w:lineRule="exact"/>
      <w:outlineLvl w:val="1"/>
    </w:pPr>
    <w:rPr>
      <w:rFonts w:ascii="Calibri Light" w:hAnsi="Calibri Light" w:eastAsia="楷体"/>
      <w:b/>
      <w:bCs/>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a04bcdff">
    <w:name w:val="heading 3a04bcdff"/>
    <w:basedOn w:val="bd1d9df9"/>
    <w:next w:val="1"/>
    <w:link w:val="16"/>
    <w:qFormat/>
    <w:uiPriority w:val="9"/>
    <w:pPr>
      <w:keepNext/>
      <w:keepLines/>
      <w:spacing w:line="560" w:lineRule="exact"/>
      <w:outlineLvl w:val="2"/>
    </w:pPr>
    <w:rPr>
      <w:rFonts w:eastAsia="微软简仿宋"/>
      <w:b/>
      <w:bCs/>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71badc1e">
    <w:name w:val="Default Paragraph Font71badc1e"/>
    <w:unhideWhenUsed/>
    <w:uiPriority w:val="1"/>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23c920e7">
    <w:name w:val="Normal Table23c920e7"/>
    <w:unhideWhenUsed/>
    <w:uiPriority w:val="99"/>
    <w:tblPr>
      <w:tblStyle w:val="11"/>
      <w:tblCellMar>
        <w:top w:w="0" w:type="dxa"/>
        <w:left w:w="108" w:type="dxa"/>
        <w:bottom w:w="0" w:type="dxa"/>
        <w:right w:w="108" w:type="dxa"/>
      </w:tblCellMar>
    </w:tbl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0f0173b7">
    <w:name w:val="annotation text0f0173b7"/>
    <w:basedOn w:val="bd1d9df9"/>
    <w:link w:val="17"/>
    <w:unhideWhenUsed/>
    <w:uiPriority w:val="0"/>
    <w:pPr>
      <w:jc w:val="left"/>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99237df9">
    <w:name w:val="Balloon Text99237df9"/>
    <w:basedOn w:val="bd1d9df9"/>
    <w:link w:val="18"/>
    <w:unhideWhenUsed/>
    <w:uiPriority w:val="99"/>
    <w:rPr>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f795c423">
    <w:name w:val="footerf795c423"/>
    <w:basedOn w:val="bd1d9df9"/>
    <w:link w:val="19"/>
    <w:unhideWhenUsed/>
    <w:uiPriority w:val="99"/>
    <w:pPr>
      <w:tabs>
        <w:tab w:val="center" w:pos="4153"/>
        <w:tab w:val="right" w:pos="8306"/>
      </w:tabs>
      <w:snapToGrid w:val="0"/>
      <w:jc w:val="left"/>
    </w:pPr>
    <w:rPr>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7c0852b6">
    <w:name w:val="header7c0852b6"/>
    <w:basedOn w:val="bd1d9df9"/>
    <w:link w:val="20"/>
    <w:unhideWhenUsed/>
    <w:uiPriority w:val="0"/>
    <w:pPr>
      <w:pBdr>
        <w:bottom w:val="single" w:color="auto" w:sz="6" w:space="1"/>
      </w:pBdr>
      <w:tabs>
        <w:tab w:val="center" w:pos="4153"/>
        <w:tab w:val="right" w:pos="8306"/>
      </w:tabs>
      <w:snapToGrid w:val="0"/>
      <w:spacing w:line="560" w:lineRule="exact"/>
      <w:jc w:val="center"/>
    </w:pPr>
    <w:rPr>
      <w:rFonts w:ascii="Times New Roman" w:hAnsi="Times New Roman" w:cs="Times New Roman"/>
      <w:sz w:val="18"/>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60360f2d">
    <w:name w:val="Normal (Web)60360f2d"/>
    <w:unhideWhenUsed/>
    <w:uiPriority w:val="0"/>
    <w:pPr>
      <w:spacing w:before="100" w:beforeAutospacing="1" w:after="100" w:afterAutospacing="1"/>
    </w:pPr>
    <w:rPr>
      <w:sz w:val="24"/>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ccf4797f">
    <w:name w:val="annotation subjectccf4797f"/>
    <w:basedOn w:val="0f0173b7"/>
    <w:next w:val="5"/>
    <w:link w:val="21"/>
    <w:unhideWhenUsed/>
    <w:uiPriority w:val="99"/>
    <w:rPr>
      <w:b/>
      <w:bCs/>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7cec6193">
    <w:name w:val="annotation reference7cec6193"/>
    <w:unhideWhenUsed/>
    <w:uiPriority w:val="99"/>
    <w:rPr>
      <w:sz w:val="21"/>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d53d1249">
    <w:name w:val="标题 1 字符d53d1249"/>
    <w:link w:val="2"/>
    <w:qFormat/>
    <w:uiPriority w:val="9"/>
    <w:rPr>
      <w:rFonts w:eastAsia="黑体"/>
      <w:b/>
      <w:bCs/>
      <w:kern w:val="44"/>
      <w:sz w:val="32"/>
      <w:szCs w:val="4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e80a55ea">
    <w:name w:val="标题 2 字符e80a55ea"/>
    <w:link w:val="3"/>
    <w:uiPriority w:val="9"/>
    <w:rPr>
      <w:rFonts w:ascii="Calibri Light" w:hAnsi="Calibri Light" w:eastAsia="楷体" w:cs="黑体"/>
      <w:b/>
      <w:bCs/>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4acf5700">
    <w:name w:val="标题 3 字符4acf5700"/>
    <w:link w:val="4"/>
    <w:semiHidden/>
    <w:uiPriority w:val="9"/>
    <w:rPr>
      <w:rFonts w:eastAsia="微软简仿宋"/>
      <w:b/>
      <w:bCs/>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f630abaa">
    <w:name w:val="批注文字 字符f630abaa"/>
    <w:link w:val="5"/>
    <w:uiPriority w:val="0"/>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0fd9492c">
    <w:name w:val="批注框文本 字符0fd9492c"/>
    <w:link w:val="6"/>
    <w:semiHidden/>
    <w:uiPriority w:val="99"/>
    <w:rPr>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f5c5bc11">
    <w:name w:val="页脚 字符f5c5bc11"/>
    <w:link w:val="7"/>
    <w:uiPriority w:val="99"/>
    <w:rPr>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c03923e4">
    <w:name w:val="页眉 字符c03923e4"/>
    <w:link w:val="8"/>
    <w:qFormat/>
    <w:uiPriority w:val="0"/>
    <w:rPr>
      <w:rFonts w:ascii="Times New Roman" w:hAnsi="Times New Roman" w:eastAsia="宋体" w:cs="Times New Roman"/>
      <w:sz w:val="18"/>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a09b3ded">
    <w:name w:val="批注主题 字符a09b3ded"/>
    <w:link w:val="10"/>
    <w:semiHidden/>
    <w:qFormat/>
    <w:uiPriority w:val="99"/>
    <w:rPr>
      <w:b/>
      <w:bCs/>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6c3a8378">
    <w:name w:val="Char Char Char Char Char Char Char Char Char Char Char Char6c3a8378"/>
    <w:basedOn w:val="bd1d9df9"/>
    <w:uiPriority w:val="0"/>
    <w:pPr>
      <w:widowControl/>
      <w:spacing w:after="160" w:line="240" w:lineRule="exact"/>
      <w:jc w:val="left"/>
    </w:pPr>
    <w:rPr>
      <w:rFonts w:ascii="Tahoma" w:hAnsi="Tahoma" w:cs="Tahoma"/>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aa528885">
    <w:name w:val="Normalaa528885"/>
    <w:qFormat/>
    <w:uiPriority w:val="0"/>
    <w:pPr>
      <w:widowControl w:val="0"/>
      <w:spacing w:line="560" w:lineRule="exact"/>
      <w:jc w:val="both"/>
    </w:pPr>
    <w:rPr>
      <w:rFonts w:hint="default" w:ascii="Times New Roman" w:hAnsi="Times New Roman" w:eastAsia="宋体" w:cs="Times New Roman"/>
      <w:sz w:val="21"/>
      <w:szCs w:val="24"/>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56036ca0">
    <w:name w:val="heading 156036ca0"/>
    <w:basedOn w:val="aa528885"/>
    <w:next w:val="1"/>
    <w:link w:val="195"/>
    <w:qFormat/>
    <w:uiPriority w:val="0"/>
    <w:pPr>
      <w:keepNext/>
      <w:keepLines/>
      <w:spacing w:before="360" w:after="80"/>
      <w:outlineLvl w:val="0"/>
    </w:pPr>
    <w:rPr>
      <w:rFonts w:ascii="Arial" w:hAnsi="Arial" w:eastAsia="Arial" w:cs="Arial"/>
      <w:color w:val="2E75B6" w:themeColor="accent1" w:themeShade="BF"/>
      <w:sz w:val="40"/>
      <w:szCs w:val="4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4e8b8273">
    <w:name w:val="heading 24e8b8273"/>
    <w:basedOn w:val="aa528885"/>
    <w:next w:val="1"/>
    <w:link w:val="187"/>
    <w:semiHidden/>
    <w:unhideWhenUsed/>
    <w:qFormat/>
    <w:uiPriority w:val="0"/>
    <w:pPr>
      <w:keepNext/>
      <w:keepLines/>
      <w:spacing w:before="160" w:after="80"/>
      <w:outlineLvl w:val="1"/>
    </w:pPr>
    <w:rPr>
      <w:rFonts w:ascii="Arial" w:hAnsi="Arial" w:eastAsia="Arial" w:cs="Arial"/>
      <w:color w:val="2E75B6" w:themeColor="accent1" w:themeShade="BF"/>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534224ae">
    <w:name w:val="heading 3534224ae"/>
    <w:basedOn w:val="aa528885"/>
    <w:next w:val="1"/>
    <w:link w:val="196"/>
    <w:semiHidden/>
    <w:unhideWhenUsed/>
    <w:qFormat/>
    <w:uiPriority w:val="0"/>
    <w:pPr>
      <w:keepNext/>
      <w:keepLines/>
      <w:spacing w:before="160" w:after="80"/>
      <w:outlineLvl w:val="2"/>
    </w:pPr>
    <w:rPr>
      <w:rFonts w:ascii="Arial" w:hAnsi="Arial" w:eastAsia="Arial" w:cs="Arial"/>
      <w:color w:val="2E75B6" w:themeColor="accent1" w:themeShade="BF"/>
      <w:sz w:val="28"/>
      <w:szCs w:val="2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64cd97e7">
    <w:name w:val="heading 464cd97e7"/>
    <w:basedOn w:val="aa528885"/>
    <w:next w:val="1"/>
    <w:link w:val="162"/>
    <w:semiHidden/>
    <w:unhideWhenUsed/>
    <w:qFormat/>
    <w:uiPriority w:val="0"/>
    <w:pPr>
      <w:keepNext/>
      <w:keepLines/>
      <w:spacing w:before="80" w:after="40"/>
      <w:outlineLvl w:val="3"/>
    </w:pPr>
    <w:rPr>
      <w:rFonts w:ascii="Arial" w:hAnsi="Arial" w:eastAsia="Arial" w:cs="Arial"/>
      <w:i/>
      <w:iCs/>
      <w:color w:val="2E75B6"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6507784">
    <w:name w:val="heading 516507784"/>
    <w:basedOn w:val="aa528885"/>
    <w:next w:val="1"/>
    <w:link w:val="163"/>
    <w:semiHidden/>
    <w:unhideWhenUsed/>
    <w:qFormat/>
    <w:uiPriority w:val="0"/>
    <w:pPr>
      <w:keepNext/>
      <w:keepLines/>
      <w:spacing w:before="80" w:after="40"/>
      <w:outlineLvl w:val="4"/>
    </w:pPr>
    <w:rPr>
      <w:rFonts w:ascii="Arial" w:hAnsi="Arial" w:eastAsia="Arial" w:cs="Arial"/>
      <w:color w:val="2E75B6"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3deee7ee">
    <w:name w:val="heading 63deee7ee"/>
    <w:basedOn w:val="aa528885"/>
    <w:next w:val="1"/>
    <w:link w:val="164"/>
    <w:semiHidden/>
    <w:unhideWhenUsed/>
    <w:qFormat/>
    <w:uiPriority w:val="0"/>
    <w:pPr>
      <w:keepNext/>
      <w:keepLines/>
      <w:spacing w:before="40" w:after="0"/>
      <w:outlineLvl w:val="5"/>
    </w:pPr>
    <w:rPr>
      <w:rFonts w:ascii="Arial" w:hAnsi="Arial" w:eastAsia="Arial" w:cs="Arial"/>
      <w:i/>
      <w:iCs/>
      <w:color w:val="595959" w:themeColor="text1" w:themeTint="A6"/>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8c97bb0f">
    <w:name w:val="heading 78c97bb0f"/>
    <w:basedOn w:val="aa528885"/>
    <w:next w:val="1"/>
    <w:link w:val="165"/>
    <w:semiHidden/>
    <w:unhideWhenUsed/>
    <w:qFormat/>
    <w:uiPriority w:val="0"/>
    <w:pPr>
      <w:keepNext/>
      <w:keepLines/>
      <w:spacing w:before="40" w:after="0"/>
      <w:outlineLvl w:val="6"/>
    </w:pPr>
    <w:rPr>
      <w:rFonts w:ascii="Arial" w:hAnsi="Arial" w:eastAsia="Arial" w:cs="Arial"/>
      <w:color w:val="595959" w:themeColor="text1" w:themeTint="A6"/>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36acdece">
    <w:name w:val="heading 836acdece"/>
    <w:basedOn w:val="aa528885"/>
    <w:next w:val="1"/>
    <w:link w:val="166"/>
    <w:semiHidden/>
    <w:unhideWhenUsed/>
    <w:qFormat/>
    <w:uiPriority w:val="0"/>
    <w:pPr>
      <w:keepNext/>
      <w:keepLines/>
      <w:spacing w:after="0"/>
      <w:outlineLvl w:val="7"/>
    </w:pPr>
    <w:rPr>
      <w:rFonts w:ascii="Arial" w:hAnsi="Arial" w:eastAsia="Arial" w:cs="Arial"/>
      <w:i/>
      <w:iCs/>
      <w:color w:val="262626" w:themeColor="text1" w:themeTint="D9"/>
      <w14:textFill>
        <w14:solidFill>
          <w14:schemeClr w14:val="tx1">
            <w14:lumMod w14:val="85000"/>
            <w14:lumOff w14:val="1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5e2941a4">
    <w:name w:val="heading 95e2941a4"/>
    <w:basedOn w:val="aa528885"/>
    <w:next w:val="1"/>
    <w:link w:val="167"/>
    <w:semiHidden/>
    <w:unhideWhenUsed/>
    <w:qFormat/>
    <w:uiPriority w:val="0"/>
    <w:pPr>
      <w:keepNext/>
      <w:keepLines/>
      <w:spacing w:after="0"/>
      <w:outlineLvl w:val="8"/>
    </w:pPr>
    <w:rPr>
      <w:rFonts w:ascii="Arial" w:hAnsi="Arial" w:eastAsia="Arial" w:cs="Arial"/>
      <w:i/>
      <w:iCs/>
      <w:color w:val="262626" w:themeColor="text1" w:themeTint="D9"/>
      <w14:textFill>
        <w14:solidFill>
          <w14:schemeClr w14:val="tx1">
            <w14:lumMod w14:val="85000"/>
            <w14:lumOff w14:val="1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89cef8cd">
    <w:name w:val="Default Paragraph Font89cef8cd"/>
    <w:semiHidden/>
    <w:uiPriority w:val="0"/>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61463ef8">
    <w:name w:val="Normal Table61463ef8"/>
    <w:semiHidden/>
    <w:qFormat/>
    <w:uiPriority w:val="0"/>
    <w:tblPr>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2c92cfa">
    <w:name w:val="caption12c92cfa"/>
    <w:basedOn w:val="aa528885"/>
    <w:next w:val="1"/>
    <w:semiHidden/>
    <w:unhideWhenUsed/>
    <w:qFormat/>
    <w:uiPriority w:val="0"/>
    <w:pPr>
      <w:spacing w:after="200" w:line="240" w:lineRule="auto"/>
    </w:pPr>
    <w:rPr>
      <w:i/>
      <w:iCs/>
      <w:color w:val="44546A" w:themeColor="text2"/>
      <w:sz w:val="18"/>
      <w:szCs w:val="18"/>
      <w14:textFill>
        <w14:solidFill>
          <w14:schemeClr w14:val="tx2"/>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6bc93145">
    <w:name w:val="annotation text6bc93145"/>
    <w:basedOn w:val="aa528885"/>
    <w:link w:val="188"/>
    <w:qFormat/>
    <w:uiPriority w:val="0"/>
    <w:pPr>
      <w:spacing w:line="240" w:lineRule="auto"/>
      <w:jc w:val="left"/>
    </w:pPr>
    <w:rPr>
      <w:rFonts w:hint="default" w:ascii="Calibri" w:hAnsi="Calibri"/>
      <w:kern w:val="2"/>
      <w:szCs w:val="2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b9cc4c28">
    <w:name w:val="Body Text Indentb9cc4c28"/>
    <w:basedOn w:val="aa528885"/>
    <w:unhideWhenUsed/>
    <w:qFormat/>
    <w:uiPriority w:val="0"/>
    <w:pPr>
      <w:ind w:firstLine="630"/>
    </w:pPr>
    <w:rPr>
      <w:sz w:val="2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edef8e21">
    <w:name w:val="endnote textedef8e21"/>
    <w:basedOn w:val="aa528885"/>
    <w:link w:val="184"/>
    <w:qFormat/>
    <w:uiPriority w:val="0"/>
    <w:pPr>
      <w:spacing w:after="0" w:line="240" w:lineRule="auto"/>
    </w:pPr>
    <w:rPr>
      <w:sz w:val="20"/>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56cd1110">
    <w:name w:val="Balloon Text56cd1110"/>
    <w:basedOn w:val="aa528885"/>
    <w:link w:val="189"/>
    <w:semiHidden/>
    <w:qFormat/>
    <w:uiPriority w:val="0"/>
    <w:pPr>
      <w:spacing w:line="240" w:lineRule="auto"/>
    </w:pPr>
    <w:rPr>
      <w:rFonts w:hint="default" w:ascii="Times New Roman" w:hAnsi="Times New Roman"/>
      <w:kern w:val="2"/>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11a3f2c">
    <w:name w:val="footer111a3f2c"/>
    <w:basedOn w:val="aa528885"/>
    <w:link w:val="190"/>
    <w:qFormat/>
    <w:uiPriority w:val="0"/>
    <w:pPr>
      <w:tabs>
        <w:tab w:val="center" w:pos="4844"/>
        <w:tab w:val="right" w:pos="9689"/>
      </w:tabs>
      <w:spacing w:after="0" w:line="240" w:lineRule="auto"/>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ecd503b3">
    <w:name w:val="headerecd503b3"/>
    <w:basedOn w:val="aa528885"/>
    <w:link w:val="191"/>
    <w:unhideWhenUsed/>
    <w:qFormat/>
    <w:uiPriority w:val="99"/>
    <w:pPr>
      <w:tabs>
        <w:tab w:val="center" w:pos="4844"/>
        <w:tab w:val="right" w:pos="9689"/>
      </w:tabs>
      <w:spacing w:after="0" w:line="240" w:lineRule="auto"/>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3b86198a">
    <w:name w:val="Subtitle3b86198a"/>
    <w:basedOn w:val="aa528885"/>
    <w:next w:val="1"/>
    <w:link w:val="169"/>
    <w:qFormat/>
    <w:uiPriority w:val="0"/>
    <w:rPr>
      <w:color w:val="595959" w:themeColor="text1" w:themeTint="A6"/>
      <w:spacing w:val="15"/>
      <w:sz w:val="28"/>
      <w:szCs w:val="28"/>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a88046ab">
    <w:name w:val="footnote texta88046ab"/>
    <w:basedOn w:val="aa528885"/>
    <w:link w:val="183"/>
    <w:qFormat/>
    <w:uiPriority w:val="0"/>
    <w:pPr>
      <w:spacing w:after="0" w:line="240" w:lineRule="auto"/>
    </w:pPr>
    <w:rPr>
      <w:sz w:val="20"/>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c2d4a7e">
    <w:name w:val="table of figures1c2d4a7e"/>
    <w:basedOn w:val="aa528885"/>
    <w:next w:val="1"/>
    <w:qFormat/>
    <w:uiPriority w:val="0"/>
    <w:pPr>
      <w:spacing w:after="0" w:afterAutospacing="0"/>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48923a01">
    <w:name w:val="Title48923a01"/>
    <w:basedOn w:val="aa528885"/>
    <w:next w:val="1"/>
    <w:link w:val="168"/>
    <w:qFormat/>
    <w:uiPriority w:val="0"/>
    <w:pPr>
      <w:spacing w:after="80" w:line="240" w:lineRule="auto"/>
      <w:contextualSpacing/>
    </w:pPr>
    <w:rPr>
      <w:rFonts w:ascii="Arial" w:hAnsi="Arial" w:eastAsia="Arial" w:cs="Arial"/>
      <w:spacing w:val="-10"/>
      <w:sz w:val="56"/>
      <w:szCs w:val="56"/>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ccd5d7a4">
    <w:name w:val="annotation subjectccd5d7a4"/>
    <w:basedOn w:val="6bc93145"/>
    <w:next w:val="12"/>
    <w:link w:val="197"/>
    <w:qFormat/>
    <w:uiPriority w:val="0"/>
    <w:rPr>
      <w:b/>
      <w:bCs/>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9d6cb541">
    <w:name w:val="Table Grid9d6cb541"/>
    <w:basedOn w:val="61463ef8"/>
    <w:qFormat/>
    <w:uiPriority w:val="0"/>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fd2a2d7e">
    <w:name w:val="Strongfd2a2d7e"/>
    <w:basedOn w:val="89cef8cd"/>
    <w:qFormat/>
    <w:uiPriority w:val="0"/>
    <w:rPr>
      <w:b/>
      <w:bCs/>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e57d837d">
    <w:name w:val="endnote referencee57d837d"/>
    <w:basedOn w:val="89cef8cd"/>
    <w:qFormat/>
    <w:uiPriority w:val="0"/>
    <w:rPr>
      <w:vertAlign w:val="superscript"/>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40668c42">
    <w:name w:val="page number40668c42"/>
    <w:basedOn w:val="89cef8cd"/>
    <w:qFormat/>
    <w:uiPriority w:val="0"/>
    <w:rPr>
      <w:rFonts w:ascii="Times New Roman" w:hAnsi="Times New Roman" w:eastAsia="宋体" w:cs="Times New Roman"/>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422b3c51">
    <w:name w:val="FollowedHyperlink422b3c51"/>
    <w:basedOn w:val="89cef8cd"/>
    <w:qFormat/>
    <w:uiPriority w:val="0"/>
    <w:rPr>
      <w:color w:val="954F72" w:themeColor="followedHyperlink"/>
      <w:u w:val="single"/>
      <w14:textFill>
        <w14:solidFill>
          <w14:schemeClr w14:val="folHlink"/>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fdd3655d">
    <w:name w:val="Emphasisfdd3655d"/>
    <w:basedOn w:val="89cef8cd"/>
    <w:qFormat/>
    <w:uiPriority w:val="0"/>
    <w:rPr>
      <w:i/>
      <w:iCs/>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fd08efd3">
    <w:name w:val="Hyperlinkfd08efd3"/>
    <w:basedOn w:val="89cef8cd"/>
    <w:unhideWhenUsed/>
    <w:qFormat/>
    <w:uiPriority w:val="99"/>
    <w:rPr>
      <w:color w:val="0563C1" w:themeColor="hyperlink"/>
      <w:u w:val="single"/>
      <w14:textFill>
        <w14:solidFill>
          <w14:schemeClr w14:val="hlink"/>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50ff7331">
    <w:name w:val="annotation reference50ff7331"/>
    <w:basedOn w:val="89cef8cd"/>
    <w:qFormat/>
    <w:uiPriority w:val="0"/>
    <w:rPr>
      <w:rFonts w:ascii="Times New Roman" w:hAnsi="Times New Roman" w:eastAsia="宋体" w:cs="Times New Roman"/>
      <w:sz w:val="21"/>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ffda0738">
    <w:name w:val="footnote referenceffda0738"/>
    <w:basedOn w:val="89cef8cd"/>
    <w:uiPriority w:val="0"/>
    <w:rPr>
      <w:vertAlign w:val="superscript"/>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982dd5a">
    <w:name w:val="Table Grid Light4982dd5a"/>
    <w:basedOn w:val="61463ef8"/>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70d5e18">
    <w:name w:val="Plain Table 1670d5e18"/>
    <w:basedOn w:val="61463ef8"/>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themeColor="text1" w:themeTint="0D" w:fill="F1F1F1" w:themeFill="text1" w:themeFillTint="0D"/>
      </w:tcPr>
    </w:tblStylePr>
    <w:tblStylePr w:type="band2Vert"/>
    <w:tblStylePr w:type="band1Horz">
      <w:tcPr>
        <w:shd w:val="clear" w:color="F1F1F1" w:themeColor="text1" w:themeTint="0D" w:fill="F1F1F1" w:themeFill="text1" w:themeFillTint="0D"/>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3816f96">
    <w:name w:val="Plain Table 263816f96"/>
    <w:basedOn w:val="61463ef8"/>
    <w:qFormat/>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top w:w="0" w:type="dxa"/>
        <w:left w:w="108" w:type="dxa"/>
        <w:bottom w:w="0" w:type="dxa"/>
        <w:right w:w="108"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d9853def">
    <w:name w:val="Plain Table 3d9853def"/>
    <w:basedOn w:val="61463ef8"/>
    <w:qFormat/>
    <w:uiPriority w:val="99"/>
    <w:pPr>
      <w:spacing w:after="0" w:line="240" w:lineRule="auto"/>
    </w:p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a855045">
    <w:name w:val="Plain Table 44a855045"/>
    <w:basedOn w:val="61463ef8"/>
    <w:qFormat/>
    <w:uiPriority w:val="99"/>
    <w:pPr>
      <w:spacing w:after="0" w:line="240" w:lineRule="auto"/>
    </w:p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449258d">
    <w:name w:val="Plain Table 57449258d"/>
    <w:basedOn w:val="61463ef8"/>
    <w:qFormat/>
    <w:uiPriority w:val="99"/>
    <w:pPr>
      <w:spacing w:after="0" w:line="240" w:lineRule="auto"/>
    </w:pPr>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625a5fb">
    <w:name w:val="Grid Table 1 Light9625a5fb"/>
    <w:basedOn w:val="61463ef8"/>
    <w:qFormat/>
    <w:uiPriority w:val="99"/>
    <w:pPr>
      <w:spacing w:after="0" w:line="240" w:lineRule="auto"/>
    </w:pPr>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abc64109">
    <w:name w:val="Grid Table 1 Light - Accent 1abc64109"/>
    <w:basedOn w:val="61463ef8"/>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b/>
        <w:color w:val="404040"/>
      </w:rPr>
      <w:tcPr>
        <w:tcBorders>
          <w:bottom w:val="single" w:color="9FC4E6"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b14e6f5">
    <w:name w:val="Grid Table 1 Light - Accent 21b14e6f5"/>
    <w:basedOn w:val="61463ef8"/>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b/>
        <w:color w:val="404040"/>
      </w:rPr>
      <w:tcPr>
        <w:tcBorders>
          <w:bottom w:val="single" w:color="F4B38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b6a2ed1f">
    <w:name w:val="Grid Table 1 Light - Accent 3b6a2ed1f"/>
    <w:basedOn w:val="61463ef8"/>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b/>
        <w:color w:val="404040"/>
      </w:rPr>
      <w:tcPr>
        <w:tcBorders>
          <w:bottom w:val="single" w:color="CACACA"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b412c087">
    <w:name w:val="Grid Table 1 Light - Accent 4b412c087"/>
    <w:basedOn w:val="61463ef8"/>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b/>
        <w:color w:val="404040"/>
      </w:rPr>
      <w:tcPr>
        <w:tcBorders>
          <w:bottom w:val="single" w:color="FFDA69"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fb73122c">
    <w:name w:val="Grid Table 1 Light - Accent 5fb73122c"/>
    <w:basedOn w:val="61463ef8"/>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b/>
        <w:color w:val="404040"/>
      </w:rPr>
      <w:tcPr>
        <w:tcBorders>
          <w:bottom w:val="single" w:color="91ACDC"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cc60d69e">
    <w:name w:val="Grid Table 1 Light - Accent 6cc60d69e"/>
    <w:basedOn w:val="61463ef8"/>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b/>
        <w:color w:val="404040"/>
      </w:rPr>
      <w:tcPr>
        <w:tcBorders>
          <w:bottom w:val="single" w:color="AAD190"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0e09afcc">
    <w:name w:val="Grid Table 20e09afcc"/>
    <w:basedOn w:val="61463ef8"/>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f6852e49">
    <w:name w:val="Grid Table 2 - Accent 1f6852e49"/>
    <w:basedOn w:val="61463ef8"/>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single" w:color="68A3D8" w:themeColor="accent1" w:themeTint="EA" w:sz="12" w:space="0"/>
          <w:right w:val="nil"/>
        </w:tcBorders>
        <w:shd w:val="clear" w:color="FFFFFF" w:fill="auto"/>
      </w:tcPr>
    </w:tblStylePr>
    <w:tblStylePr w:type="lastRow">
      <w:rPr>
        <w:b/>
        <w:color w:val="404040"/>
      </w:rPr>
      <w:tcPr>
        <w:tcBorders>
          <w:top w:val="single" w:color="68A3D8"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DEAF6" w:themeColor="accent1" w:themeTint="34" w:fill="DDEAF6" w:themeFill="accent1" w:themeFillTint="34"/>
      </w:tcPr>
    </w:tblStylePr>
    <w:tblStylePr w:type="band2Vert"/>
    <w:tblStylePr w:type="band1Horz">
      <w:rPr>
        <w:rFonts w:ascii="Arial" w:hAnsi="Arial"/>
        <w:color w:val="404040"/>
        <w:sz w:val="22"/>
      </w:rPr>
      <w:tcPr>
        <w:shd w:val="clear" w:color="DDEAF6" w:themeColor="accent1" w:themeTint="34" w:fill="DDEAF6" w:themeFill="accent1"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e3a71679">
    <w:name w:val="Grid Table 2 - Accent 2e3a71679"/>
    <w:basedOn w:val="61463ef8"/>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single" w:color="F4B285" w:themeColor="accent2" w:themeTint="97" w:sz="12" w:space="0"/>
          <w:right w:val="nil"/>
        </w:tcBorders>
        <w:shd w:val="clear" w:color="FFFFFF" w:fill="auto"/>
      </w:tcPr>
    </w:tblStylePr>
    <w:tblStylePr w:type="lastRow">
      <w:rPr>
        <w:b/>
        <w:color w:val="404040"/>
      </w:rPr>
      <w:tcPr>
        <w:tcBorders>
          <w:top w:val="single" w:color="F4B28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themeColor="accent2" w:themeTint="32" w:fill="FBE5D6" w:themeFill="accent2" w:themeFillTint="32"/>
      </w:tcPr>
    </w:tblStylePr>
    <w:tblStylePr w:type="band2Vert"/>
    <w:tblStylePr w:type="band1Horz">
      <w:rPr>
        <w:rFonts w:ascii="Arial" w:hAnsi="Arial"/>
        <w:color w:val="404040"/>
        <w:sz w:val="22"/>
      </w:rPr>
      <w:tcPr>
        <w:shd w:val="clear" w:color="FBE5D6" w:themeColor="accent2" w:themeTint="32" w:fill="FBE5D6" w:themeFill="accent2" w:themeFillTint="32"/>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6894d2">
    <w:name w:val="Grid Table 2 - Accent 3116894d2"/>
    <w:basedOn w:val="61463ef8"/>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single" w:color="A5A5A5" w:themeColor="accent3" w:themeTint="FE" w:sz="12" w:space="0"/>
          <w:right w:val="nil"/>
        </w:tcBorders>
        <w:shd w:val="clear" w:color="FFFFFF" w:fill="auto"/>
      </w:tcPr>
    </w:tblStylePr>
    <w:tblStylePr w:type="lastRow">
      <w:rPr>
        <w:b/>
        <w:color w:val="404040"/>
      </w:rPr>
      <w:tcPr>
        <w:tcBorders>
          <w:top w:val="single" w:color="A5A5A5"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themeColor="accent3" w:themeTint="34" w:fill="ECECEC" w:themeFill="accent3" w:themeFillTint="34"/>
      </w:tcPr>
    </w:tblStylePr>
    <w:tblStylePr w:type="band2Vert"/>
    <w:tblStylePr w:type="band1Horz">
      <w:rPr>
        <w:rFonts w:ascii="Arial" w:hAnsi="Arial"/>
        <w:color w:val="404040"/>
        <w:sz w:val="22"/>
      </w:rPr>
      <w:tcPr>
        <w:shd w:val="clear" w:color="ECECEC" w:themeColor="accent3" w:themeTint="34" w:fill="ECECEC" w:themeFill="accent3"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24b66aca">
    <w:name w:val="Grid Table 2 - Accent 424b66aca"/>
    <w:basedOn w:val="61463ef8"/>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single" w:color="FFD864" w:themeColor="accent4" w:themeTint="9A" w:sz="12" w:space="0"/>
          <w:right w:val="nil"/>
        </w:tcBorders>
        <w:shd w:val="clear" w:color="FFFFFF" w:fill="auto"/>
      </w:tcPr>
    </w:tblStylePr>
    <w:tblStylePr w:type="lastRow">
      <w:rPr>
        <w:b/>
        <w:color w:val="404040"/>
      </w:rPr>
      <w:tcPr>
        <w:tcBorders>
          <w:top w:val="single" w:color="FFD864"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themeColor="accent4" w:themeTint="34" w:fill="FEF2CA" w:themeFill="accent4" w:themeFillTint="34"/>
      </w:tcPr>
    </w:tblStylePr>
    <w:tblStylePr w:type="band2Vert"/>
    <w:tblStylePr w:type="band1Horz">
      <w:rPr>
        <w:rFonts w:ascii="Arial" w:hAnsi="Arial"/>
        <w:color w:val="404040"/>
        <w:sz w:val="22"/>
      </w:rPr>
      <w:tcPr>
        <w:shd w:val="clear" w:color="FEF2CA" w:themeColor="accent4" w:themeTint="34" w:fill="FEF2CA" w:themeFill="accent4"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fd4783bb">
    <w:name w:val="Grid Table 2 - Accent 5fd4783bb"/>
    <w:basedOn w:val="61463ef8"/>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single" w:color="4472C4" w:themeColor="accent5" w:sz="12" w:space="0"/>
          <w:right w:val="nil"/>
        </w:tcBorders>
        <w:shd w:val="clear" w:color="FFFFFF" w:fill="auto"/>
      </w:tcPr>
    </w:tblStylePr>
    <w:tblStylePr w:type="lastRow">
      <w:rPr>
        <w:b/>
        <w:color w:val="404040"/>
      </w:rPr>
      <w:tcPr>
        <w:tcBorders>
          <w:top w:val="single" w:color="4472C4"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themeColor="accent5" w:themeTint="34" w:fill="D8E2F2" w:themeFill="accent5" w:themeFillTint="34"/>
      </w:tcPr>
    </w:tblStylePr>
    <w:tblStylePr w:type="band2Vert"/>
    <w:tblStylePr w:type="band1Horz">
      <w:rPr>
        <w:rFonts w:ascii="Arial" w:hAnsi="Arial"/>
        <w:color w:val="404040"/>
        <w:sz w:val="22"/>
      </w:rPr>
      <w:tcPr>
        <w:shd w:val="clear" w:color="D8E2F2" w:themeColor="accent5" w:themeTint="34" w:fill="D8E2F2" w:themeFill="accent5"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d5ac328f">
    <w:name w:val="Grid Table 2 - Accent 6d5ac328f"/>
    <w:basedOn w:val="61463ef8"/>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single" w:color="70AD47" w:themeColor="accent6" w:sz="12" w:space="0"/>
          <w:right w:val="nil"/>
        </w:tcBorders>
        <w:shd w:val="clear" w:color="FFFFFF" w:fill="auto"/>
      </w:tcPr>
    </w:tblStylePr>
    <w:tblStylePr w:type="lastRow">
      <w:rPr>
        <w:b/>
        <w:color w:val="404040"/>
      </w:rPr>
      <w:tcPr>
        <w:tcBorders>
          <w:top w:val="single" w:color="70AD47"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themeColor="accent6" w:themeTint="34" w:fill="E1EFD8" w:themeFill="accent6" w:themeFillTint="34"/>
      </w:tcPr>
    </w:tblStylePr>
    <w:tblStylePr w:type="band2Vert"/>
    <w:tblStylePr w:type="band1Horz">
      <w:rPr>
        <w:rFonts w:ascii="Arial" w:hAnsi="Arial"/>
        <w:color w:val="404040"/>
        <w:sz w:val="22"/>
      </w:rPr>
      <w:tcPr>
        <w:shd w:val="clear" w:color="E1EFD8" w:themeColor="accent6" w:themeTint="34" w:fill="E1EFD8" w:themeFill="accent6"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9115af4">
    <w:name w:val="Grid Table 369115af4"/>
    <w:basedOn w:val="61463ef8"/>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e57f9871">
    <w:name w:val="Grid Table 3 - Accent 1e57f9871"/>
    <w:basedOn w:val="61463ef8"/>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DEAF6" w:themeColor="accent1" w:themeTint="34" w:fill="DDEAF6" w:themeFill="accent1" w:themeFillTint="34"/>
      </w:tcPr>
    </w:tblStylePr>
    <w:tblStylePr w:type="band2Vert"/>
    <w:tblStylePr w:type="band1Horz">
      <w:rPr>
        <w:rFonts w:ascii="Arial" w:hAnsi="Arial"/>
        <w:color w:val="404040"/>
        <w:sz w:val="22"/>
      </w:rPr>
      <w:tcPr>
        <w:shd w:val="clear" w:color="DDEAF6" w:themeColor="accent1" w:themeTint="34" w:fill="DDEAF6" w:themeFill="accent1"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abfdecc0">
    <w:name w:val="Grid Table 3 - Accent 2abfdecc0"/>
    <w:basedOn w:val="61463ef8"/>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BE5D6" w:themeColor="accent2" w:themeTint="32" w:fill="FBE5D6" w:themeFill="accent2" w:themeFillTint="32"/>
      </w:tcPr>
    </w:tblStylePr>
    <w:tblStylePr w:type="band2Vert"/>
    <w:tblStylePr w:type="band1Horz">
      <w:rPr>
        <w:rFonts w:ascii="Arial" w:hAnsi="Arial"/>
        <w:color w:val="404040"/>
        <w:sz w:val="22"/>
      </w:rPr>
      <w:tcPr>
        <w:shd w:val="clear" w:color="FBE5D6" w:themeColor="accent2" w:themeTint="32" w:fill="FBE5D6" w:themeFill="accent2" w:themeFillTint="32"/>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aa3bc8b5">
    <w:name w:val="Grid Table 3 - Accent 3aa3bc8b5"/>
    <w:basedOn w:val="61463ef8"/>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CECEC" w:themeColor="accent3" w:themeTint="34" w:fill="ECECEC" w:themeFill="accent3" w:themeFillTint="34"/>
      </w:tcPr>
    </w:tblStylePr>
    <w:tblStylePr w:type="band2Vert"/>
    <w:tblStylePr w:type="band1Horz">
      <w:rPr>
        <w:rFonts w:ascii="Arial" w:hAnsi="Arial"/>
        <w:color w:val="404040"/>
        <w:sz w:val="22"/>
      </w:rPr>
      <w:tcPr>
        <w:shd w:val="clear" w:color="ECECEC" w:themeColor="accent3" w:themeTint="34" w:fill="ECECEC" w:themeFill="accent3"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739e7f2">
    <w:name w:val="Grid Table 3 - Accent 48739e7f2"/>
    <w:basedOn w:val="61463ef8"/>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EF2CA" w:themeColor="accent4" w:themeTint="34" w:fill="FEF2CA" w:themeFill="accent4" w:themeFillTint="34"/>
      </w:tcPr>
    </w:tblStylePr>
    <w:tblStylePr w:type="band2Vert"/>
    <w:tblStylePr w:type="band1Horz">
      <w:rPr>
        <w:rFonts w:ascii="Arial" w:hAnsi="Arial"/>
        <w:color w:val="404040"/>
        <w:sz w:val="22"/>
      </w:rPr>
      <w:tcPr>
        <w:shd w:val="clear" w:color="FEF2CA" w:themeColor="accent4" w:themeTint="34" w:fill="FEF2CA" w:themeFill="accent4"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cfa87b3">
    <w:name w:val="Grid Table 3 - Accent 55cfa87b3"/>
    <w:basedOn w:val="61463ef8"/>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8E2F2" w:themeColor="accent5" w:themeTint="34" w:fill="D8E2F2" w:themeFill="accent5" w:themeFillTint="34"/>
      </w:tcPr>
    </w:tblStylePr>
    <w:tblStylePr w:type="band2Vert"/>
    <w:tblStylePr w:type="band1Horz">
      <w:rPr>
        <w:rFonts w:ascii="Arial" w:hAnsi="Arial"/>
        <w:color w:val="404040"/>
        <w:sz w:val="22"/>
      </w:rPr>
      <w:tcPr>
        <w:shd w:val="clear" w:color="D8E2F2" w:themeColor="accent5" w:themeTint="34" w:fill="D8E2F2" w:themeFill="accent5"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aa1ff526">
    <w:name w:val="Grid Table 3 - Accent 6aa1ff526"/>
    <w:basedOn w:val="61463ef8"/>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1EFD8" w:themeColor="accent6" w:themeTint="34" w:fill="E1EFD8" w:themeFill="accent6" w:themeFillTint="34"/>
      </w:tcPr>
    </w:tblStylePr>
    <w:tblStylePr w:type="band2Vert"/>
    <w:tblStylePr w:type="band1Horz">
      <w:rPr>
        <w:rFonts w:ascii="Arial" w:hAnsi="Arial"/>
        <w:color w:val="404040"/>
        <w:sz w:val="22"/>
      </w:rPr>
      <w:tcPr>
        <w:shd w:val="clear" w:color="E1EFD8" w:themeColor="accent6" w:themeTint="34" w:fill="E1EFD8" w:themeFill="accent6"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5354c8e">
    <w:name w:val="Grid Table 445354c8e"/>
    <w:basedOn w:val="61463ef8"/>
    <w:qFormat/>
    <w:uiPriority w:val="59"/>
    <w:pPr>
      <w:spacing w:after="0" w:line="240" w:lineRule="auto"/>
    </w:pPr>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000000" w:themeFill="text1"/>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b7c0c687">
    <w:name w:val="Grid Table 4 - Accent 1b7c0c687"/>
    <w:basedOn w:val="61463ef8"/>
    <w:qFormat/>
    <w:uiPriority w:val="5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firstRow">
      <w:rPr>
        <w:rFonts w:ascii="Arial" w:hAnsi="Arial"/>
        <w:b/>
        <w:color w:val="FFFFFF"/>
        <w:sz w:val="22"/>
      </w:rPr>
      <w:tcPr>
        <w:tcBorders>
          <w:top w:val="single" w:color="68A3D8" w:themeColor="accent1" w:themeTint="EA" w:sz="4" w:space="0"/>
          <w:left w:val="single" w:color="68A3D8" w:themeColor="accent1" w:themeTint="EA" w:sz="4" w:space="0"/>
          <w:bottom w:val="single" w:color="68A3D8" w:themeColor="accent1" w:themeTint="EA" w:sz="4" w:space="0"/>
          <w:right w:val="single" w:color="68A3D8" w:themeColor="accent1" w:themeTint="EA" w:sz="4" w:space="0"/>
        </w:tcBorders>
        <w:shd w:val="clear" w:color="68A3D8" w:themeColor="accent1" w:themeTint="EA" w:fill="68A3D8" w:themeFill="accent1" w:themeFillTint="EA"/>
      </w:tcPr>
    </w:tblStylePr>
    <w:tblStylePr w:type="lastRow">
      <w:rPr>
        <w:b/>
        <w:color w:val="404040"/>
      </w:rPr>
      <w:tcPr>
        <w:tcBorders>
          <w:top w:val="single" w:color="68A3D8"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EEBF6" w:themeColor="accent1" w:themeTint="32" w:fill="DEEBF6" w:themeFill="accent1" w:themeFillTint="32"/>
      </w:tcPr>
    </w:tblStylePr>
    <w:tblStylePr w:type="band2Vert"/>
    <w:tblStylePr w:type="band1Horz">
      <w:rPr>
        <w:rFonts w:ascii="Arial" w:hAnsi="Arial"/>
        <w:color w:val="404040"/>
        <w:sz w:val="22"/>
      </w:rPr>
      <w:tcPr>
        <w:shd w:val="clear" w:color="DEEBF6" w:themeColor="accent1" w:themeTint="32" w:fill="DEEBF6" w:themeFill="accent1" w:themeFillTint="32"/>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64c59c3">
    <w:name w:val="Grid Table 4 - Accent 2164c59c3"/>
    <w:basedOn w:val="61463ef8"/>
    <w:qFormat/>
    <w:uiPriority w:val="5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firstRow">
      <w:rPr>
        <w:rFonts w:ascii="Arial" w:hAnsi="Arial"/>
        <w:b/>
        <w:color w:val="FFFFFF"/>
        <w:sz w:val="22"/>
      </w:rPr>
      <w:tcPr>
        <w:tc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cBorders>
        <w:shd w:val="clear" w:color="F4B285" w:themeColor="accent2" w:themeTint="97" w:fill="F4B285" w:themeFill="accent2" w:themeFillTint="97"/>
      </w:tcPr>
    </w:tblStylePr>
    <w:tblStylePr w:type="lastRow">
      <w:rPr>
        <w:b/>
        <w:color w:val="404040"/>
      </w:rPr>
      <w:tcPr>
        <w:tcBorders>
          <w:top w:val="single" w:color="F4B28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themeColor="accent2" w:themeTint="32" w:fill="FBE5D6" w:themeFill="accent2" w:themeFillTint="32"/>
      </w:tcPr>
    </w:tblStylePr>
    <w:tblStylePr w:type="band2Vert"/>
    <w:tblStylePr w:type="band1Horz">
      <w:rPr>
        <w:rFonts w:ascii="Arial" w:hAnsi="Arial"/>
        <w:color w:val="404040"/>
        <w:sz w:val="22"/>
      </w:rPr>
      <w:tcPr>
        <w:shd w:val="clear" w:color="FBE5D6" w:themeColor="accent2" w:themeTint="32" w:fill="FBE5D6" w:themeFill="accent2" w:themeFillTint="32"/>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3034cd8">
    <w:name w:val="Grid Table 4 - Accent 343034cd8"/>
    <w:basedOn w:val="61463ef8"/>
    <w:qFormat/>
    <w:uiPriority w:val="5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firstRow">
      <w:rPr>
        <w:rFonts w:ascii="Arial" w:hAnsi="Arial"/>
        <w:b/>
        <w:color w:val="FFFFFF"/>
        <w:sz w:val="22"/>
      </w:rPr>
      <w:tcPr>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shd w:val="clear" w:color="A5A5A5" w:themeColor="accent3" w:themeTint="FE" w:fill="A5A5A5" w:themeFill="accent3" w:themeFillTint="FE"/>
      </w:tcPr>
    </w:tblStylePr>
    <w:tblStylePr w:type="lastRow">
      <w:rPr>
        <w:b/>
        <w:color w:val="404040"/>
      </w:rPr>
      <w:tcPr>
        <w:tcBorders>
          <w:top w:val="single" w:color="A5A5A5"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themeColor="accent3" w:themeTint="34" w:fill="ECECEC" w:themeFill="accent3" w:themeFillTint="34"/>
      </w:tcPr>
    </w:tblStylePr>
    <w:tblStylePr w:type="band2Vert"/>
    <w:tblStylePr w:type="band1Horz">
      <w:rPr>
        <w:rFonts w:ascii="Arial" w:hAnsi="Arial"/>
        <w:color w:val="404040"/>
        <w:sz w:val="22"/>
      </w:rPr>
      <w:tcPr>
        <w:shd w:val="clear" w:color="ECECEC" w:themeColor="accent3" w:themeTint="34" w:fill="ECECEC" w:themeFill="accent3"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b2c3225">
    <w:name w:val="Grid Table 4 - Accent 48b2c3225"/>
    <w:basedOn w:val="61463ef8"/>
    <w:qFormat/>
    <w:uiPriority w:val="5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insideV w:val="single" w:color="FFDB6E" w:themeColor="accent4" w:themeTint="90" w:sz="4" w:space="0"/>
      </w:tblBorders>
    </w:tblPr>
    <w:tblStylePr w:type="firstRow">
      <w:rPr>
        <w:rFonts w:ascii="Arial" w:hAnsi="Arial"/>
        <w:b/>
        <w:color w:val="FFFFFF"/>
        <w:sz w:val="22"/>
      </w:rPr>
      <w:tcPr>
        <w:tc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cBorders>
        <w:shd w:val="clear" w:color="FFD864" w:themeColor="accent4" w:themeTint="9A" w:fill="FFD864" w:themeFill="accent4" w:themeFillTint="9A"/>
      </w:tcPr>
    </w:tblStylePr>
    <w:tblStylePr w:type="lastRow">
      <w:rPr>
        <w:b/>
        <w:color w:val="404040"/>
      </w:rPr>
      <w:tcPr>
        <w:tcBorders>
          <w:top w:val="single" w:color="FFD864"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themeColor="accent4" w:themeTint="34" w:fill="FEF2CA" w:themeFill="accent4" w:themeFillTint="34"/>
      </w:tcPr>
    </w:tblStylePr>
    <w:tblStylePr w:type="band2Vert"/>
    <w:tblStylePr w:type="band1Horz">
      <w:rPr>
        <w:rFonts w:ascii="Arial" w:hAnsi="Arial"/>
        <w:color w:val="404040"/>
        <w:sz w:val="22"/>
      </w:rPr>
      <w:tcPr>
        <w:shd w:val="clear" w:color="FEF2CA" w:themeColor="accent4" w:themeTint="34" w:fill="FEF2CA" w:themeFill="accent4"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50639a4">
    <w:name w:val="Grid Table 4 - Accent 5150639a4"/>
    <w:basedOn w:val="61463ef8"/>
    <w:qFormat/>
    <w:uiPriority w:val="5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FFFFFF"/>
        <w:sz w:val="22"/>
      </w:r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shd w:val="clear" w:color="4472C4" w:themeColor="accent5" w:fill="4472C4" w:themeFill="accent5"/>
      </w:tcPr>
    </w:tblStylePr>
    <w:tblStylePr w:type="lastRow">
      <w:rPr>
        <w:b/>
        <w:color w:val="404040"/>
      </w:rPr>
      <w:tcPr>
        <w:tcBorders>
          <w:top w:val="single" w:color="4472C4"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themeColor="accent5" w:themeTint="34" w:fill="D8E2F2" w:themeFill="accent5" w:themeFillTint="34"/>
      </w:tcPr>
    </w:tblStylePr>
    <w:tblStylePr w:type="band2Vert"/>
    <w:tblStylePr w:type="band1Horz">
      <w:rPr>
        <w:rFonts w:ascii="Arial" w:hAnsi="Arial"/>
        <w:color w:val="404040"/>
        <w:sz w:val="22"/>
      </w:rPr>
      <w:tcPr>
        <w:shd w:val="clear" w:color="D8E2F2" w:themeColor="accent5" w:themeTint="34" w:fill="D8E2F2" w:themeFill="accent5"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ab4002e0">
    <w:name w:val="Grid Table 4 - Accent 6ab4002e0"/>
    <w:basedOn w:val="61463ef8"/>
    <w:qFormat/>
    <w:uiPriority w:val="5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FFFFFF"/>
        <w:sz w:val="22"/>
      </w:r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70AD47" w:themeColor="accent6" w:fill="70AD47" w:themeFill="accent6"/>
      </w:tcPr>
    </w:tblStylePr>
    <w:tblStylePr w:type="lastRow">
      <w:rPr>
        <w:b/>
        <w:color w:val="404040"/>
      </w:rPr>
      <w:tcPr>
        <w:tcBorders>
          <w:top w:val="single" w:color="70AD47"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themeColor="accent6" w:themeTint="34" w:fill="E1EFD8" w:themeFill="accent6" w:themeFillTint="34"/>
      </w:tcPr>
    </w:tblStylePr>
    <w:tblStylePr w:type="band2Vert"/>
    <w:tblStylePr w:type="band1Horz">
      <w:rPr>
        <w:rFonts w:ascii="Arial" w:hAnsi="Arial"/>
        <w:color w:val="404040"/>
        <w:sz w:val="22"/>
      </w:rPr>
      <w:tcPr>
        <w:shd w:val="clear" w:color="E1EFD8" w:themeColor="accent6" w:themeTint="34" w:fill="E1EFD8" w:themeFill="accent6"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dc335ff8">
    <w:name w:val="Grid Table 5 Darkdc335ff8"/>
    <w:basedOn w:val="61463ef8"/>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themeColor="text1" w:fill="000000" w:themeFill="text1"/>
      </w:tcPr>
    </w:tblStylePr>
    <w:tblStylePr w:type="lastRow">
      <w:rPr>
        <w:rFonts w:ascii="Arial" w:hAnsi="Arial"/>
        <w:b/>
        <w:color w:val="FFFFFF"/>
        <w:sz w:val="22"/>
      </w:rPr>
      <w:tcPr>
        <w:tcBorders>
          <w:top w:val="single" w:color="FFFFFF" w:themeColor="light1" w:sz="4" w:space="0"/>
        </w:tcBorders>
        <w:shd w:val="clear" w:color="000000" w:themeColor="text1" w:fill="000000" w:themeFill="text1"/>
      </w:tcPr>
    </w:tblStylePr>
    <w:tblStylePr w:type="firstCol">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band1Vert">
      <w:tcPr>
        <w:shd w:val="clear" w:color="898989" w:themeColor="text1" w:themeTint="75" w:fill="898989" w:themeFill="text1" w:themeFillTint="75"/>
      </w:tcPr>
    </w:tblStylePr>
    <w:tblStylePr w:type="band2Vert"/>
    <w:tblStylePr w:type="band1Horz">
      <w:tcPr>
        <w:shd w:val="clear" w:color="898989" w:themeColor="text1" w:themeTint="75" w:fill="898989" w:themeFill="text1"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e3a03c98">
    <w:name w:val="Grid Table 5 Dark- Accent 1e3a03c98"/>
    <w:basedOn w:val="61463ef8"/>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5B9BD5" w:themeColor="accent1" w:fill="5B9BD5" w:themeFill="accent1"/>
      </w:tcPr>
    </w:tblStylePr>
    <w:tblStylePr w:type="lastRow">
      <w:rPr>
        <w:rFonts w:ascii="Arial" w:hAnsi="Arial"/>
        <w:b/>
        <w:color w:val="FFFFFF"/>
        <w:sz w:val="22"/>
      </w:rPr>
      <w:tcPr>
        <w:tcBorders>
          <w:top w:val="single" w:color="FFFFFF" w:themeColor="light1" w:sz="4" w:space="0"/>
        </w:tcBorders>
        <w:shd w:val="clear" w:color="5B9BD5" w:themeColor="accent1" w:fill="5B9BD5" w:themeFill="accent1"/>
      </w:tcPr>
    </w:tblStylePr>
    <w:tblStylePr w:type="firstCol">
      <w:rPr>
        <w:rFonts w:ascii="Arial" w:hAnsi="Arial"/>
        <w:b/>
        <w:color w:val="FFFFFF"/>
        <w:sz w:val="22"/>
      </w:rPr>
      <w:tcPr>
        <w:shd w:val="clear" w:color="5B9BD5" w:themeColor="accent1" w:fill="5B9BD5" w:themeFill="accent1"/>
      </w:tcPr>
    </w:tblStylePr>
    <w:tblStylePr w:type="lastCol">
      <w:rPr>
        <w:rFonts w:ascii="Arial" w:hAnsi="Arial"/>
        <w:b/>
        <w:color w:val="FFFFFF"/>
        <w:sz w:val="22"/>
      </w:rPr>
      <w:tcPr>
        <w:shd w:val="clear" w:color="5B9BD5" w:themeColor="accent1" w:fill="5B9BD5" w:themeFill="accent1"/>
      </w:tcPr>
    </w:tblStylePr>
    <w:tblStylePr w:type="band1Vert">
      <w:tcPr>
        <w:shd w:val="clear" w:color="B3D1EB" w:themeColor="accent1" w:themeTint="75" w:fill="B3D1EB" w:themeFill="accent1" w:themeFillTint="75"/>
      </w:tcPr>
    </w:tblStylePr>
    <w:tblStylePr w:type="band2Vert"/>
    <w:tblStylePr w:type="band1Horz">
      <w:tcPr>
        <w:shd w:val="clear" w:color="B3D1EB" w:themeColor="accent1" w:themeTint="75" w:fill="B3D1EB" w:themeFill="accent1"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292ca99d">
    <w:name w:val="Grid Table 5 Dark - Accent 2292ca99d"/>
    <w:basedOn w:val="61463ef8"/>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ED7D31" w:themeColor="accent2" w:fill="ED7D31" w:themeFill="accent2"/>
      </w:tcPr>
    </w:tblStylePr>
    <w:tblStylePr w:type="lastRow">
      <w:rPr>
        <w:rFonts w:ascii="Arial" w:hAnsi="Arial"/>
        <w:b/>
        <w:color w:val="FFFFFF"/>
        <w:sz w:val="22"/>
      </w:rPr>
      <w:tcPr>
        <w:tcBorders>
          <w:top w:val="single" w:color="FFFFFF" w:themeColor="light1" w:sz="4" w:space="0"/>
        </w:tcBorders>
        <w:shd w:val="clear" w:color="ED7D31" w:themeColor="accent2" w:fill="ED7D31" w:themeFill="accent2"/>
      </w:tcPr>
    </w:tblStylePr>
    <w:tblStylePr w:type="firstCol">
      <w:rPr>
        <w:rFonts w:ascii="Arial" w:hAnsi="Arial"/>
        <w:b/>
        <w:color w:val="FFFFFF"/>
        <w:sz w:val="22"/>
      </w:rPr>
      <w:tcPr>
        <w:shd w:val="clear" w:color="ED7D31" w:themeColor="accent2" w:fill="ED7D31" w:themeFill="accent2"/>
      </w:tcPr>
    </w:tblStylePr>
    <w:tblStylePr w:type="lastCol">
      <w:rPr>
        <w:rFonts w:ascii="Arial" w:hAnsi="Arial"/>
        <w:b/>
        <w:color w:val="FFFFFF"/>
        <w:sz w:val="22"/>
      </w:rPr>
      <w:tcPr>
        <w:shd w:val="clear" w:color="ED7D31" w:themeColor="accent2" w:fill="ED7D31" w:themeFill="accent2"/>
      </w:tcPr>
    </w:tblStylePr>
    <w:tblStylePr w:type="band1Vert">
      <w:tcPr>
        <w:shd w:val="clear" w:color="F6C3A0" w:themeColor="accent2" w:themeTint="75" w:fill="F6C3A0" w:themeFill="accent2" w:themeFillTint="75"/>
      </w:tcPr>
    </w:tblStylePr>
    <w:tblStylePr w:type="band2Vert"/>
    <w:tblStylePr w:type="band1Horz">
      <w:tcPr>
        <w:shd w:val="clear" w:color="F6C3A0" w:themeColor="accent2" w:themeTint="75" w:fill="F6C3A0" w:themeFill="accent2"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b8e1335f">
    <w:name w:val="Grid Table 5 Dark - Accent 3b8e1335f"/>
    <w:basedOn w:val="61463ef8"/>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5A5A5" w:themeColor="accent3" w:fill="A5A5A5" w:themeFill="accent3"/>
      </w:tcPr>
    </w:tblStylePr>
    <w:tblStylePr w:type="lastRow">
      <w:rPr>
        <w:rFonts w:ascii="Arial" w:hAnsi="Arial"/>
        <w:b/>
        <w:color w:val="FFFFFF"/>
        <w:sz w:val="22"/>
      </w:rPr>
      <w:tcPr>
        <w:tcBorders>
          <w:top w:val="single" w:color="FFFFFF" w:themeColor="light1" w:sz="4" w:space="0"/>
        </w:tcBorders>
        <w:shd w:val="clear" w:color="A5A5A5" w:themeColor="accent3" w:fill="A5A5A5" w:themeFill="accent3"/>
      </w:tcPr>
    </w:tblStylePr>
    <w:tblStylePr w:type="firstCol">
      <w:rPr>
        <w:rFonts w:ascii="Arial" w:hAnsi="Arial"/>
        <w:b/>
        <w:color w:val="FFFFFF"/>
        <w:sz w:val="22"/>
      </w:rPr>
      <w:tcPr>
        <w:shd w:val="clear" w:color="A5A5A5" w:themeColor="accent3" w:fill="A5A5A5" w:themeFill="accent3"/>
      </w:tcPr>
    </w:tblStylePr>
    <w:tblStylePr w:type="lastCol">
      <w:rPr>
        <w:rFonts w:ascii="Arial" w:hAnsi="Arial"/>
        <w:b/>
        <w:color w:val="FFFFFF"/>
        <w:sz w:val="22"/>
      </w:rPr>
      <w:tcPr>
        <w:shd w:val="clear" w:color="A5A5A5" w:themeColor="accent3" w:fill="A5A5A5" w:themeFill="accent3"/>
      </w:tcPr>
    </w:tblStylePr>
    <w:tblStylePr w:type="band1Vert">
      <w:tcPr>
        <w:shd w:val="clear" w:color="D5D5D5" w:themeColor="accent3" w:themeTint="75" w:fill="D5D5D5" w:themeFill="accent3" w:themeFillTint="75"/>
      </w:tcPr>
    </w:tblStylePr>
    <w:tblStylePr w:type="band2Vert"/>
    <w:tblStylePr w:type="band1Horz">
      <w:tcPr>
        <w:shd w:val="clear" w:color="D5D5D5" w:themeColor="accent3" w:themeTint="75" w:fill="D5D5D5" w:themeFill="accent3"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c75ddaa6">
    <w:name w:val="Grid Table 5 Dark- Accent 4c75ddaa6"/>
    <w:basedOn w:val="61463ef8"/>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C000" w:themeColor="accent4" w:fill="FFC000" w:themeFill="accent4"/>
      </w:tcPr>
    </w:tblStylePr>
    <w:tblStylePr w:type="lastRow">
      <w:rPr>
        <w:rFonts w:ascii="Arial" w:hAnsi="Arial"/>
        <w:b/>
        <w:color w:val="FFFFFF"/>
        <w:sz w:val="22"/>
      </w:rPr>
      <w:tcPr>
        <w:tcBorders>
          <w:top w:val="single" w:color="FFFFFF" w:themeColor="light1" w:sz="4" w:space="0"/>
        </w:tcBorders>
        <w:shd w:val="clear" w:color="FFC000" w:themeColor="accent4" w:fill="FFC000" w:themeFill="accent4"/>
      </w:tcPr>
    </w:tblStylePr>
    <w:tblStylePr w:type="firstCol">
      <w:rPr>
        <w:rFonts w:ascii="Arial" w:hAnsi="Arial"/>
        <w:b/>
        <w:color w:val="FFFFFF"/>
        <w:sz w:val="22"/>
      </w:rPr>
      <w:tcPr>
        <w:shd w:val="clear" w:color="FFC000" w:themeColor="accent4" w:fill="FFC000" w:themeFill="accent4"/>
      </w:tcPr>
    </w:tblStylePr>
    <w:tblStylePr w:type="lastCol">
      <w:rPr>
        <w:rFonts w:ascii="Arial" w:hAnsi="Arial"/>
        <w:b/>
        <w:color w:val="FFFFFF"/>
        <w:sz w:val="22"/>
      </w:rPr>
      <w:tcPr>
        <w:shd w:val="clear" w:color="FFC000" w:themeColor="accent4" w:fill="FFC000" w:themeFill="accent4"/>
      </w:tcPr>
    </w:tblStylePr>
    <w:tblStylePr w:type="band1Vert">
      <w:tcPr>
        <w:shd w:val="clear" w:color="FEE289" w:themeColor="accent4" w:themeTint="75" w:fill="FEE289" w:themeFill="accent4" w:themeFillTint="75"/>
      </w:tcPr>
    </w:tblStylePr>
    <w:tblStylePr w:type="band2Vert"/>
    <w:tblStylePr w:type="band1Horz">
      <w:tcPr>
        <w:shd w:val="clear" w:color="FEE289" w:themeColor="accent4" w:themeTint="75" w:fill="FEE289" w:themeFill="accent4"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6b6c540">
    <w:name w:val="Grid Table 5 Dark - Accent 516b6c540"/>
    <w:basedOn w:val="61463ef8"/>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472C4" w:themeColor="accent5" w:fill="4472C4" w:themeFill="accent5"/>
      </w:tcPr>
    </w:tblStylePr>
    <w:tblStylePr w:type="lastRow">
      <w:rPr>
        <w:rFonts w:ascii="Arial" w:hAnsi="Arial"/>
        <w:b/>
        <w:color w:val="FFFFFF"/>
        <w:sz w:val="22"/>
      </w:rPr>
      <w:tcPr>
        <w:tcBorders>
          <w:top w:val="single" w:color="FFFFFF" w:themeColor="light1" w:sz="4" w:space="0"/>
        </w:tcBorders>
        <w:shd w:val="clear" w:color="4472C4" w:themeColor="accent5" w:fill="4472C4" w:themeFill="accent5"/>
      </w:tcPr>
    </w:tblStylePr>
    <w:tblStylePr w:type="firstCol">
      <w:rPr>
        <w:rFonts w:ascii="Arial" w:hAnsi="Arial"/>
        <w:b/>
        <w:color w:val="FFFFFF"/>
        <w:sz w:val="22"/>
      </w:rPr>
      <w:tcPr>
        <w:shd w:val="clear" w:color="4472C4" w:themeColor="accent5" w:fill="4472C4" w:themeFill="accent5"/>
      </w:tcPr>
    </w:tblStylePr>
    <w:tblStylePr w:type="lastCol">
      <w:rPr>
        <w:rFonts w:ascii="Arial" w:hAnsi="Arial"/>
        <w:b/>
        <w:color w:val="FFFFFF"/>
        <w:sz w:val="22"/>
      </w:rPr>
      <w:tcPr>
        <w:shd w:val="clear" w:color="4472C4" w:themeColor="accent5" w:fill="4472C4" w:themeFill="accent5"/>
      </w:tcPr>
    </w:tblStylePr>
    <w:tblStylePr w:type="band1Vert">
      <w:tcPr>
        <w:shd w:val="clear" w:color="A9BEE3" w:themeColor="accent5" w:themeTint="75" w:fill="A9BEE3" w:themeFill="accent5" w:themeFillTint="75"/>
      </w:tcPr>
    </w:tblStylePr>
    <w:tblStylePr w:type="band2Vert"/>
    <w:tblStylePr w:type="band1Horz">
      <w:tcPr>
        <w:shd w:val="clear" w:color="A9BEE3" w:themeColor="accent5" w:themeTint="75" w:fill="A9BEE3" w:themeFill="accent5"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cd1b28d">
    <w:name w:val="Grid Table 5 Dark - Accent 63cd1b28d"/>
    <w:basedOn w:val="61463ef8"/>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70AD47" w:themeColor="accent6" w:fill="70AD47" w:themeFill="accent6"/>
      </w:tcPr>
    </w:tblStylePr>
    <w:tblStylePr w:type="lastRow">
      <w:rPr>
        <w:rFonts w:ascii="Arial" w:hAnsi="Arial"/>
        <w:b/>
        <w:color w:val="FFFFFF"/>
        <w:sz w:val="22"/>
      </w:rPr>
      <w:tcPr>
        <w:tcBorders>
          <w:top w:val="single" w:color="FFFFFF" w:themeColor="light1" w:sz="4" w:space="0"/>
        </w:tcBorders>
        <w:shd w:val="clear" w:color="70AD47" w:themeColor="accent6" w:fill="70AD47" w:themeFill="accent6"/>
      </w:tcPr>
    </w:tblStylePr>
    <w:tblStylePr w:type="firstCol">
      <w:rPr>
        <w:rFonts w:ascii="Arial" w:hAnsi="Arial"/>
        <w:b/>
        <w:color w:val="FFFFFF"/>
        <w:sz w:val="22"/>
      </w:rPr>
      <w:tcPr>
        <w:shd w:val="clear" w:color="70AD47" w:themeColor="accent6" w:fill="70AD47" w:themeFill="accent6"/>
      </w:tcPr>
    </w:tblStylePr>
    <w:tblStylePr w:type="lastCol">
      <w:rPr>
        <w:rFonts w:ascii="Arial" w:hAnsi="Arial"/>
        <w:b/>
        <w:color w:val="FFFFFF"/>
        <w:sz w:val="22"/>
      </w:rPr>
      <w:tcPr>
        <w:shd w:val="clear" w:color="70AD47" w:themeColor="accent6" w:fill="70AD47" w:themeFill="accent6"/>
      </w:tcPr>
    </w:tblStylePr>
    <w:tblStylePr w:type="band1Vert">
      <w:tcPr>
        <w:shd w:val="clear" w:color="BCDBA8" w:themeColor="accent6" w:themeTint="75" w:fill="BCDBA8" w:themeFill="accent6" w:themeFillTint="75"/>
      </w:tcPr>
    </w:tblStylePr>
    <w:tblStylePr w:type="band2Vert"/>
    <w:tblStylePr w:type="band1Horz">
      <w:tcPr>
        <w:shd w:val="clear" w:color="BCDBA8" w:themeColor="accent6" w:themeTint="75" w:fill="BCDBA8" w:themeFill="accent6"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ee71e0d">
    <w:name w:val="Grid Table 6 Colorful6ee71e0d"/>
    <w:basedOn w:val="61463ef8"/>
    <w:qFormat/>
    <w:uiPriority w:val="99"/>
    <w:pPr>
      <w:spacing w:after="0" w:line="240" w:lineRule="auto"/>
    </w:pPr>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themeColor="text1" w:themeTint="34" w:fill="CACACA" w:themeFill="text1" w:themeFillTint="34"/>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themeColor="text1" w:themeTint="34" w:fill="CACACA" w:themeFill="text1" w:themeFillTint="34"/>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db07cc31">
    <w:name w:val="Grid Table 6 Colorful - Accent 1db07cc31"/>
    <w:basedOn w:val="61463ef8"/>
    <w:qFormat/>
    <w:uiPriority w:val="99"/>
    <w:pPr>
      <w:spacing w:after="0" w:line="240" w:lineRule="auto"/>
    </w:pPr>
    <w:tblPr>
      <w:tblBorders>
        <w:top w:val="single" w:color="ACCCE9" w:themeColor="accent1" w:themeTint="80" w:sz="4" w:space="0"/>
        <w:left w:val="single" w:color="ACCCE9" w:themeColor="accent1" w:themeTint="80" w:sz="4" w:space="0"/>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b/>
        <w:color w:val="ADCDEA" w:themeColor="accent1" w:themeTint="80"/>
        <w14:textFill>
          <w14:solidFill>
            <w14:schemeClr w14:val="accent1">
              <w14:lumMod w14:val="50000"/>
              <w14:lumOff w14:val="50000"/>
            </w14:schemeClr>
          </w14:solidFill>
        </w14:textFill>
      </w:rPr>
      <w:tcPr>
        <w:tcBorders>
          <w:bottom w:val="single" w:color="ACCCE9" w:themeColor="accent1" w:themeTint="80" w:sz="12" w:space="0"/>
        </w:tcBorders>
      </w:tcPr>
    </w:tblStylePr>
    <w:tblStylePr w:type="lastRow">
      <w:rPr>
        <w:b/>
        <w:color w:val="ADCDEA" w:themeColor="accent1" w:themeTint="80"/>
        <w14:textFill>
          <w14:solidFill>
            <w14:schemeClr w14:val="accent1">
              <w14:lumMod w14:val="50000"/>
              <w14:lumOff w14:val="50000"/>
            </w14:schemeClr>
          </w14:solidFill>
        </w14:textFill>
      </w:rPr>
    </w:tblStylePr>
    <w:tblStylePr w:type="firstCol">
      <w:rPr>
        <w:b/>
        <w:color w:val="ADCDEA" w:themeColor="accent1" w:themeTint="80"/>
        <w14:textFill>
          <w14:solidFill>
            <w14:schemeClr w14:val="accent1">
              <w14:lumMod w14:val="50000"/>
              <w14:lumOff w14:val="50000"/>
            </w14:schemeClr>
          </w14:solidFill>
        </w14:textFill>
      </w:rPr>
    </w:tblStylePr>
    <w:tblStylePr w:type="lastCol">
      <w:rPr>
        <w:b/>
        <w:color w:val="ADCDEA" w:themeColor="accent1" w:themeTint="80"/>
        <w14:textFill>
          <w14:solidFill>
            <w14:schemeClr w14:val="accent1">
              <w14:lumMod w14:val="50000"/>
              <w14:lumOff w14:val="50000"/>
            </w14:schemeClr>
          </w14:solidFill>
        </w14:textFill>
      </w:rPr>
    </w:tblStylePr>
    <w:tblStylePr w:type="band1Vert">
      <w:tcPr>
        <w:shd w:val="clear" w:color="DDEAF6" w:themeColor="accent1" w:themeTint="34" w:fill="DDEAF6" w:themeFill="accent1" w:themeFillTint="34"/>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themeColor="accent1" w:themeTint="34" w:fill="DDEAF6" w:themeFill="accent1" w:themeFillTint="34"/>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dae5626b">
    <w:name w:val="Grid Table 6 Colorful - Accent 2dae5626b"/>
    <w:basedOn w:val="61463ef8"/>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12" w:space="0"/>
        </w:tcBorders>
      </w:tcPr>
    </w:tblStylePr>
    <w:tblStylePr w:type="lastRow">
      <w:rPr>
        <w:b/>
        <w:color w:val="F4B285" w:themeColor="accent2" w:themeTint="96"/>
        <w14:textFill>
          <w14:solidFill>
            <w14:schemeClr w14:val="accent2">
              <w14:lumMod w14:val="59000"/>
              <w14:lumOff w14:val="41000"/>
            </w14:schemeClr>
          </w14:solidFill>
        </w14:textFill>
      </w:r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BE5D6" w:themeColor="accent2" w:themeTint="32" w:fill="FBE5D6" w:themeFill="accent2" w:themeFillTint="32"/>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themeColor="accent2" w:themeTint="32" w:fill="FBE5D6" w:themeFill="accent2" w:themeFillTint="32"/>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c328d57a">
    <w:name w:val="Grid Table 6 Colorful - Accent 3c328d57a"/>
    <w:basedOn w:val="61463ef8"/>
    <w:qFormat/>
    <w:uiPriority w:val="99"/>
    <w:pPr>
      <w:spacing w:after="0" w:line="240" w:lineRule="auto"/>
    </w:pPr>
    <w:tblPr>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A5A5A5" w:themeColor="accent3" w:themeTint="FF"/>
        <w14:textFill>
          <w14:solidFill>
            <w14:schemeClr w14:val="accent3">
              <w14:lumMod w14:val="100000"/>
              <w14:lumOff w14:val="0"/>
            </w14:schemeClr>
          </w14:solidFill>
        </w14:textFill>
      </w:rPr>
      <w:tcPr>
        <w:tcBorders>
          <w:bottom w:val="single" w:color="A5A5A5" w:themeColor="accent3" w:themeTint="FE" w:sz="12" w:space="0"/>
        </w:tcBorders>
      </w:tcPr>
    </w:tblStylePr>
    <w:tblStylePr w:type="lastRow">
      <w:rPr>
        <w:b/>
        <w:color w:val="A5A5A5" w:themeColor="accent3" w:themeTint="FF"/>
        <w14:textFill>
          <w14:solidFill>
            <w14:schemeClr w14:val="accent3">
              <w14:lumMod w14:val="100000"/>
              <w14:lumOff w14:val="0"/>
            </w14:schemeClr>
          </w14:solidFill>
        </w14:textFill>
      </w:rPr>
    </w:tblStylePr>
    <w:tblStylePr w:type="firstCol">
      <w:rPr>
        <w:b/>
        <w:color w:val="A5A5A5" w:themeColor="accent3" w:themeTint="FF"/>
        <w14:textFill>
          <w14:solidFill>
            <w14:schemeClr w14:val="accent3">
              <w14:lumMod w14:val="100000"/>
              <w14:lumOff w14:val="0"/>
            </w14:schemeClr>
          </w14:solidFill>
        </w14:textFill>
      </w:rPr>
    </w:tblStylePr>
    <w:tblStylePr w:type="lastCol">
      <w:rPr>
        <w:b/>
        <w:color w:val="A5A5A5" w:themeColor="accent3" w:themeTint="FF"/>
        <w14:textFill>
          <w14:solidFill>
            <w14:schemeClr w14:val="accent3">
              <w14:lumMod w14:val="100000"/>
              <w14:lumOff w14:val="0"/>
            </w14:schemeClr>
          </w14:solidFill>
        </w14:textFill>
      </w:rPr>
    </w:tblStylePr>
    <w:tblStylePr w:type="band1Vert">
      <w:tcPr>
        <w:shd w:val="clear" w:color="ECECEC" w:themeColor="accent3" w:themeTint="34" w:fill="ECECEC" w:themeFill="accent3" w:themeFillTint="34"/>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themeColor="accent3" w:themeTint="34" w:fill="ECECEC" w:themeFill="accent3" w:themeFillTint="34"/>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fcffa7b3">
    <w:name w:val="Grid Table 6 Colorful - Accent 4fcffa7b3"/>
    <w:basedOn w:val="61463ef8"/>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12" w:space="0"/>
        </w:tcBorders>
      </w:tcPr>
    </w:tblStylePr>
    <w:tblStylePr w:type="lastRow">
      <w:rPr>
        <w:b/>
        <w:color w:val="FFD966" w:themeColor="accent4" w:themeTint="99"/>
        <w14:textFill>
          <w14:solidFill>
            <w14:schemeClr w14:val="accent4">
              <w14:lumMod w14:val="60000"/>
              <w14:lumOff w14:val="40000"/>
            </w14:schemeClr>
          </w14:solidFill>
        </w14:textFill>
      </w:r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EF2CA" w:themeColor="accent4" w:themeTint="34" w:fill="FEF2CA" w:themeFill="accent4" w:themeFillTint="34"/>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themeColor="accent4" w:themeTint="34" w:fill="FEF2CA" w:themeFill="accent4" w:themeFillTint="34"/>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efc36c51">
    <w:name w:val="Grid Table 6 Colorful - Accent 5efc36c51"/>
    <w:basedOn w:val="61463ef8"/>
    <w:qFormat/>
    <w:uiPriority w:val="99"/>
    <w:pPr>
      <w:spacing w:after="0" w:line="240" w:lineRule="auto"/>
    </w:pPr>
    <w:tblPr>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firstRow">
      <w:rPr>
        <w:b/>
        <w:color w:val="254174" w:themeColor="accent5" w:themeShade="94"/>
      </w:rPr>
      <w:tcPr>
        <w:tcBorders>
          <w:bottom w:val="single" w:color="4472C4" w:themeColor="accent5"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D8E2F2" w:themeColor="accent5" w:themeTint="34" w:fill="D8E2F2" w:themeFill="accent5" w:themeFillTint="34"/>
      </w:tcPr>
    </w:tblStylePr>
    <w:tblStylePr w:type="band2Vert"/>
    <w:tblStylePr w:type="band1Horz">
      <w:rPr>
        <w:rFonts w:ascii="Arial" w:hAnsi="Arial"/>
        <w:color w:val="254174" w:themeColor="accent5" w:themeShade="94"/>
        <w:sz w:val="22"/>
      </w:rPr>
      <w:tcPr>
        <w:shd w:val="clear" w:color="D8E2F2" w:themeColor="accent5" w:themeTint="34" w:fill="D8E2F2" w:themeFill="accent5" w:themeFillTint="34"/>
      </w:tcPr>
    </w:tblStylePr>
    <w:tblStylePr w:type="band2Horz">
      <w:rPr>
        <w:rFonts w:ascii="Arial" w:hAnsi="Arial"/>
        <w:color w:val="254174" w:themeColor="accent5" w:themeShade="94"/>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23d11487">
    <w:name w:val="Grid Table 6 Colorful - Accent 623d11487"/>
    <w:basedOn w:val="61463ef8"/>
    <w:qFormat/>
    <w:uiPriority w:val="99"/>
    <w:pPr>
      <w:spacing w:after="0" w:line="240" w:lineRule="auto"/>
    </w:pPr>
    <w:tblPr>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firstRow">
      <w:rPr>
        <w:b/>
        <w:color w:val="254174" w:themeColor="accent5" w:themeShade="94"/>
      </w:rPr>
      <w:tcPr>
        <w:tcBorders>
          <w:bottom w:val="single" w:color="70AD47" w:themeColor="accent6"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E1EFD8" w:themeColor="accent6" w:themeTint="34" w:fill="E1EFD8" w:themeFill="accent6" w:themeFillTint="34"/>
      </w:tcPr>
    </w:tblStylePr>
    <w:tblStylePr w:type="band2Vert"/>
    <w:tblStylePr w:type="band1Horz">
      <w:rPr>
        <w:rFonts w:ascii="Arial" w:hAnsi="Arial"/>
        <w:color w:val="254174" w:themeColor="accent5" w:themeShade="94"/>
        <w:sz w:val="22"/>
      </w:rPr>
      <w:tcPr>
        <w:shd w:val="clear" w:color="E1EFD8" w:themeColor="accent6" w:themeTint="34" w:fill="E1EFD8" w:themeFill="accent6" w:themeFillTint="34"/>
      </w:tcPr>
    </w:tblStylePr>
    <w:tblStylePr w:type="band2Horz">
      <w:rPr>
        <w:rFonts w:ascii="Arial" w:hAnsi="Arial"/>
        <w:color w:val="254174" w:themeColor="accent5" w:themeShade="94"/>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830b3b5">
    <w:name w:val="Grid Table 7 Colorful9830b3b5"/>
    <w:basedOn w:val="61463ef8"/>
    <w:qFormat/>
    <w:uiPriority w:val="99"/>
    <w:pPr>
      <w:spacing w:after="0" w:line="240" w:lineRule="auto"/>
    </w:pPr>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themeColor="text1" w:themeTint="0D" w:fill="F1F1F1" w:themeFill="text1" w:themeFillTint="0D"/>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themeColor="text1" w:themeTint="0D" w:fill="F1F1F1" w:themeFill="text1" w:themeFillTint="0D"/>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d623a718">
    <w:name w:val="Grid Table 7 Colorful - Accent 1d623a718"/>
    <w:basedOn w:val="61463ef8"/>
    <w:qFormat/>
    <w:uiPriority w:val="99"/>
    <w:pPr>
      <w:spacing w:after="0" w:line="240" w:lineRule="auto"/>
    </w:pPr>
    <w:tblPr>
      <w:tblBorders>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rFonts w:ascii="Arial" w:hAnsi="Arial"/>
        <w:b/>
        <w:color w:val="ADCDEA" w:themeColor="accent1" w:themeTint="80"/>
        <w:sz w:val="22"/>
        <w14:textFill>
          <w14:solidFill>
            <w14:schemeClr w14:val="accent1">
              <w14:lumMod w14:val="50000"/>
              <w14:lumOff w14:val="50000"/>
            </w14:schemeClr>
          </w14:solidFill>
        </w14:textFill>
      </w:rPr>
      <w:tcPr>
        <w:tcBorders>
          <w:top w:val="nil"/>
          <w:left w:val="nil"/>
          <w:bottom w:val="single" w:color="ACCCE9" w:themeColor="accent1" w:themeTint="80" w:sz="4" w:space="0"/>
          <w:right w:val="nil"/>
        </w:tcBorders>
        <w:shd w:val="clear" w:color="FFFFFF" w:themeColor="light1" w:fill="FFFFFF" w:themeFill="light1"/>
      </w:tcPr>
    </w:tblStylePr>
    <w:tblStylePr w:type="lastRow">
      <w:rPr>
        <w:rFonts w:ascii="Arial" w:hAnsi="Arial"/>
        <w:b/>
        <w:color w:val="ADCDEA" w:themeColor="accent1" w:themeTint="80"/>
        <w:sz w:val="22"/>
        <w14:textFill>
          <w14:solidFill>
            <w14:schemeClr w14:val="accent1">
              <w14:lumMod w14:val="50000"/>
              <w14:lumOff w14:val="50000"/>
            </w14:schemeClr>
          </w14:solidFill>
        </w14:textFill>
      </w:rPr>
      <w:tcPr>
        <w:tcBorders>
          <w:top w:val="single" w:color="ACCCE9" w:themeColor="accent1" w:themeTint="80" w:sz="4" w:space="0"/>
          <w:left w:val="nil"/>
          <w:bottom w:val="nil"/>
          <w:right w:val="nil"/>
        </w:tcBorders>
        <w:shd w:val="clear" w:color="FFFFFF" w:themeColor="light1" w:fill="FFFFFF" w:themeFill="light1"/>
      </w:tcPr>
    </w:tblStylePr>
    <w:tblStylePr w:type="firstCol">
      <w:pPr>
        <w:jc w:val="right"/>
      </w:pPr>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nil"/>
          <w:bottom w:val="nil"/>
          <w:right w:val="single" w:color="ACCCE9" w:themeColor="accent1" w:themeTint="80" w:sz="4" w:space="0"/>
        </w:tcBorders>
        <w:shd w:val="clear" w:color="FFFFFF" w:fill="auto"/>
      </w:tcPr>
    </w:tblStylePr>
    <w:tblStylePr w:type="lastCol">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single" w:color="ACCCE9" w:themeColor="accent1" w:themeTint="80" w:sz="4" w:space="0"/>
          <w:bottom w:val="nil"/>
          <w:right w:val="nil"/>
        </w:tcBorders>
        <w:shd w:val="clear" w:color="FFFFFF" w:fill="auto"/>
      </w:tcPr>
    </w:tblStylePr>
    <w:tblStylePr w:type="band1Vert">
      <w:tcPr>
        <w:shd w:val="clear" w:color="DDEAF6" w:themeColor="accent1" w:themeTint="34" w:fill="DDEAF6" w:themeFill="accent1" w:themeFillTint="34"/>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themeColor="accent1" w:themeTint="34" w:fill="DDEAF6" w:themeFill="accent1" w:themeFillTint="34"/>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9606bab">
    <w:name w:val="Grid Table 7 Colorful - Accent 279606bab"/>
    <w:basedOn w:val="61463ef8"/>
    <w:qFormat/>
    <w:uiPriority w:val="99"/>
    <w:pPr>
      <w:spacing w:after="0" w:line="240" w:lineRule="auto"/>
    </w:pPr>
    <w:tblPr>
      <w:tblBorders>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rFonts w:ascii="Arial" w:hAnsi="Arial"/>
        <w:b/>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themeColor="light1" w:fill="FFFFFF" w:themeFill="light1"/>
      </w:tcPr>
    </w:tblStylePr>
    <w:tblStylePr w:type="lastRow">
      <w:rPr>
        <w:rFonts w:ascii="Arial" w:hAnsi="Arial"/>
        <w:b/>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BE5D6" w:themeColor="accent2" w:themeTint="32" w:fill="FBE5D6" w:themeFill="accent2" w:themeFillTint="32"/>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themeColor="accent2" w:themeTint="32" w:fill="FBE5D6" w:themeFill="accent2" w:themeFillTint="32"/>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edb0991">
    <w:name w:val="Grid Table 7 Colorful - Accent 38edb0991"/>
    <w:basedOn w:val="61463ef8"/>
    <w:qFormat/>
    <w:uiPriority w:val="99"/>
    <w:pPr>
      <w:spacing w:after="0" w:line="240" w:lineRule="auto"/>
    </w:pPr>
    <w:tblPr>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rFonts w:ascii="Arial" w:hAnsi="Arial"/>
        <w:b/>
        <w:color w:val="A5A5A5" w:themeColor="accent3" w:themeTint="FF"/>
        <w:sz w:val="22"/>
        <w14:textFill>
          <w14:solidFill>
            <w14:schemeClr w14:val="accent3">
              <w14:lumMod w14:val="100000"/>
              <w14:lumOff w14:val="0"/>
            </w14:schemeClr>
          </w14:solidFill>
        </w14:textFill>
      </w:rPr>
      <w:tcPr>
        <w:tcBorders>
          <w:top w:val="nil"/>
          <w:left w:val="nil"/>
          <w:bottom w:val="single" w:color="A5A5A5" w:themeColor="accent3" w:themeTint="FE" w:sz="4" w:space="0"/>
          <w:right w:val="nil"/>
        </w:tcBorders>
        <w:shd w:val="clear" w:color="FFFFFF" w:themeColor="light1" w:fill="FFFFFF" w:themeFill="light1"/>
      </w:tcPr>
    </w:tblStylePr>
    <w:tblStylePr w:type="lastRow">
      <w:rPr>
        <w:rFonts w:ascii="Arial" w:hAnsi="Arial"/>
        <w:b/>
        <w:color w:val="A5A5A5" w:themeColor="accent3" w:themeTint="FF"/>
        <w:sz w:val="22"/>
        <w14:textFill>
          <w14:solidFill>
            <w14:schemeClr w14:val="accent3">
              <w14:lumMod w14:val="100000"/>
              <w14:lumOff w14:val="0"/>
            </w14:schemeClr>
          </w14:solidFill>
        </w14:textFill>
      </w:rPr>
      <w:tcPr>
        <w:tcBorders>
          <w:top w:val="single" w:color="A5A5A5" w:themeColor="accent3" w:themeTint="FE" w:sz="4" w:space="0"/>
          <w:left w:val="nil"/>
          <w:bottom w:val="nil"/>
          <w:right w:val="nil"/>
        </w:tcBorders>
        <w:shd w:val="clear" w:color="FFFFFF" w:themeColor="light1" w:fill="FFFFFF" w:themeFill="light1"/>
      </w:tcPr>
    </w:tblStylePr>
    <w:tblStylePr w:type="firstCol">
      <w:pPr>
        <w:jc w:val="right"/>
      </w:pPr>
      <w:rPr>
        <w:rFonts w:ascii="Arial" w:hAnsi="Arial"/>
        <w:i/>
        <w:color w:val="A5A5A5" w:themeColor="accent3" w:themeTint="FF"/>
        <w:sz w:val="22"/>
        <w14:textFill>
          <w14:solidFill>
            <w14:schemeClr w14:val="accent3">
              <w14:lumMod w14:val="100000"/>
              <w14:lumOff w14:val="0"/>
            </w14:schemeClr>
          </w14:solidFill>
        </w14:textFill>
      </w:rPr>
      <w:tcPr>
        <w:tcBorders>
          <w:top w:val="nil"/>
          <w:left w:val="nil"/>
          <w:bottom w:val="nil"/>
          <w:right w:val="single" w:color="A5A5A5" w:themeColor="accent3" w:themeTint="FE" w:sz="4" w:space="0"/>
        </w:tcBorders>
        <w:shd w:val="clear" w:color="FFFFFF" w:fill="auto"/>
      </w:tcPr>
    </w:tblStylePr>
    <w:tblStylePr w:type="lastCol">
      <w:rPr>
        <w:rFonts w:ascii="Arial" w:hAnsi="Arial"/>
        <w:i/>
        <w:color w:val="A5A5A5" w:themeColor="accent3" w:themeTint="FF"/>
        <w:sz w:val="22"/>
        <w14:textFill>
          <w14:solidFill>
            <w14:schemeClr w14:val="accent3">
              <w14:lumMod w14:val="100000"/>
              <w14:lumOff w14:val="0"/>
            </w14:schemeClr>
          </w14:solidFill>
        </w14:textFill>
      </w:rPr>
      <w:tcPr>
        <w:tcBorders>
          <w:top w:val="nil"/>
          <w:left w:val="single" w:color="A5A5A5" w:themeColor="accent3" w:themeTint="FE" w:sz="4" w:space="0"/>
          <w:bottom w:val="nil"/>
          <w:right w:val="nil"/>
        </w:tcBorders>
        <w:shd w:val="clear" w:color="FFFFFF" w:fill="auto"/>
      </w:tcPr>
    </w:tblStylePr>
    <w:tblStylePr w:type="band1Vert">
      <w:tcPr>
        <w:shd w:val="clear" w:color="ECECEC" w:themeColor="accent3" w:themeTint="34" w:fill="ECECEC" w:themeFill="accent3" w:themeFillTint="34"/>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themeColor="accent3" w:themeTint="34" w:fill="ECECEC" w:themeFill="accent3" w:themeFillTint="34"/>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be46a70b">
    <w:name w:val="Grid Table 7 Colorful - Accent 4be46a70b"/>
    <w:basedOn w:val="61463ef8"/>
    <w:qFormat/>
    <w:uiPriority w:val="99"/>
    <w:pPr>
      <w:spacing w:after="0" w:line="240" w:lineRule="auto"/>
    </w:pPr>
    <w:tblPr>
      <w:tblBorders>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rFonts w:ascii="Arial" w:hAnsi="Arial"/>
        <w:b/>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themeColor="light1" w:fill="FFFFFF" w:themeFill="light1"/>
      </w:tcPr>
    </w:tblStylePr>
    <w:tblStylePr w:type="lastRow">
      <w:rPr>
        <w:rFonts w:ascii="Arial" w:hAnsi="Arial"/>
        <w:b/>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EF2CA" w:themeColor="accent4" w:themeTint="34" w:fill="FEF2CA" w:themeFill="accent4" w:themeFillTint="34"/>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themeColor="accent4" w:themeTint="34" w:fill="FEF2CA" w:themeFill="accent4" w:themeFillTint="34"/>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efa6ae0b">
    <w:name w:val="Grid Table 7 Colorful - Accent 5efa6ae0b"/>
    <w:basedOn w:val="61463ef8"/>
    <w:qFormat/>
    <w:uiPriority w:val="99"/>
    <w:pPr>
      <w:spacing w:after="0" w:line="240" w:lineRule="auto"/>
    </w:pPr>
    <w:tblPr>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254174" w:themeColor="accent5" w:themeShade="94"/>
        <w:sz w:val="22"/>
      </w:rPr>
      <w:tcPr>
        <w:tcBorders>
          <w:top w:val="nil"/>
          <w:left w:val="nil"/>
          <w:bottom w:val="single" w:color="95AFDD" w:themeColor="accent5" w:themeTint="90" w:sz="4" w:space="0"/>
          <w:right w:val="nil"/>
        </w:tcBorders>
        <w:shd w:val="clear" w:color="FFFFFF" w:themeColor="light1" w:fill="FFFFFF" w:themeFill="light1"/>
      </w:tcPr>
    </w:tblStylePr>
    <w:tblStylePr w:type="lastRow">
      <w:rPr>
        <w:rFonts w:ascii="Arial" w:hAnsi="Arial"/>
        <w:b/>
        <w:color w:val="254174" w:themeColor="accent5" w:themeShade="94"/>
        <w:sz w:val="22"/>
      </w:rPr>
      <w:tcPr>
        <w:tcBorders>
          <w:top w:val="single" w:color="95AFDD" w:themeColor="accent5" w:themeTint="90" w:sz="4" w:space="0"/>
          <w:left w:val="nil"/>
          <w:bottom w:val="nil"/>
          <w:right w:val="nil"/>
        </w:tcBorders>
        <w:shd w:val="clear" w:color="FFFFFF" w:themeColor="light1" w:fill="FFFFFF" w:themeFill="light1"/>
      </w:tcPr>
    </w:tblStylePr>
    <w:tblStylePr w:type="firstCol">
      <w:pPr>
        <w:jc w:val="right"/>
      </w:pPr>
      <w:rPr>
        <w:rFonts w:ascii="Arial" w:hAnsi="Arial"/>
        <w:i/>
        <w:color w:val="254174" w:themeColor="accent5" w:themeShade="94"/>
        <w:sz w:val="22"/>
      </w:rPr>
      <w:tcPr>
        <w:tcBorders>
          <w:top w:val="nil"/>
          <w:left w:val="nil"/>
          <w:bottom w:val="nil"/>
          <w:right w:val="single" w:color="95AFDD" w:themeColor="accent5" w:themeTint="90" w:sz="4" w:space="0"/>
        </w:tcBorders>
        <w:shd w:val="clear" w:color="FFFFFF" w:fill="auto"/>
      </w:tcPr>
    </w:tblStylePr>
    <w:tblStylePr w:type="lastCol">
      <w:rPr>
        <w:rFonts w:ascii="Arial" w:hAnsi="Arial"/>
        <w:i/>
        <w:color w:val="254174" w:themeColor="accent5" w:themeShade="94"/>
        <w:sz w:val="22"/>
      </w:rPr>
      <w:tcPr>
        <w:tcBorders>
          <w:top w:val="nil"/>
          <w:left w:val="single" w:color="95AFDD" w:themeColor="accent5" w:themeTint="90" w:sz="4" w:space="0"/>
          <w:bottom w:val="nil"/>
          <w:right w:val="nil"/>
        </w:tcBorders>
        <w:shd w:val="clear" w:color="FFFFFF" w:fill="auto"/>
      </w:tcPr>
    </w:tblStylePr>
    <w:tblStylePr w:type="band1Vert">
      <w:tcPr>
        <w:shd w:val="clear" w:color="D8E2F2" w:themeColor="accent5" w:themeTint="34" w:fill="D8E2F2" w:themeFill="accent5" w:themeFillTint="34"/>
      </w:tcPr>
    </w:tblStylePr>
    <w:tblStylePr w:type="band2Vert"/>
    <w:tblStylePr w:type="band1Horz">
      <w:rPr>
        <w:rFonts w:ascii="Arial" w:hAnsi="Arial"/>
        <w:color w:val="254174" w:themeColor="accent5" w:themeShade="94"/>
        <w:sz w:val="22"/>
      </w:rPr>
      <w:tcPr>
        <w:shd w:val="clear" w:color="D8E2F2" w:themeColor="accent5" w:themeTint="34" w:fill="D8E2F2" w:themeFill="accent5" w:themeFillTint="34"/>
      </w:tcPr>
    </w:tblStylePr>
    <w:tblStylePr w:type="band2Horz">
      <w:rPr>
        <w:rFonts w:ascii="Arial" w:hAnsi="Arial"/>
        <w:color w:val="254174" w:themeColor="accent5" w:themeShade="94"/>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e1a9578">
    <w:name w:val="Grid Table 7 Colorful - Accent 64e1a9578"/>
    <w:basedOn w:val="61463ef8"/>
    <w:qFormat/>
    <w:uiPriority w:val="99"/>
    <w:pPr>
      <w:spacing w:after="0" w:line="240" w:lineRule="auto"/>
    </w:pPr>
    <w:tblPr>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416429" w:themeColor="accent6" w:themeShade="94"/>
        <w:sz w:val="22"/>
      </w:rPr>
      <w:tcPr>
        <w:tcBorders>
          <w:top w:val="nil"/>
          <w:left w:val="nil"/>
          <w:bottom w:val="single" w:color="ADD394" w:themeColor="accent6" w:themeTint="90" w:sz="4" w:space="0"/>
          <w:right w:val="nil"/>
        </w:tcBorders>
        <w:shd w:val="clear" w:color="FFFFFF" w:themeColor="light1" w:fill="FFFFFF" w:themeFill="light1"/>
      </w:tcPr>
    </w:tblStylePr>
    <w:tblStylePr w:type="lastRow">
      <w:rPr>
        <w:rFonts w:ascii="Arial" w:hAnsi="Arial"/>
        <w:b/>
        <w:color w:val="416429" w:themeColor="accent6" w:themeShade="94"/>
        <w:sz w:val="22"/>
      </w:rPr>
      <w:tcPr>
        <w:tcBorders>
          <w:top w:val="single" w:color="ADD394" w:themeColor="accent6" w:themeTint="90" w:sz="4" w:space="0"/>
          <w:left w:val="nil"/>
          <w:bottom w:val="nil"/>
          <w:right w:val="nil"/>
        </w:tcBorders>
        <w:shd w:val="clear" w:color="FFFFFF" w:themeColor="light1" w:fill="FFFFFF" w:themeFill="light1"/>
      </w:tcPr>
    </w:tblStylePr>
    <w:tblStylePr w:type="firstCol">
      <w:pPr>
        <w:jc w:val="right"/>
      </w:pPr>
      <w:rPr>
        <w:rFonts w:ascii="Arial" w:hAnsi="Arial"/>
        <w:i/>
        <w:color w:val="416429" w:themeColor="accent6" w:themeShade="94"/>
        <w:sz w:val="22"/>
      </w:rPr>
      <w:tcPr>
        <w:tcBorders>
          <w:top w:val="nil"/>
          <w:left w:val="nil"/>
          <w:bottom w:val="nil"/>
          <w:right w:val="single" w:color="ADD394" w:themeColor="accent6" w:themeTint="90" w:sz="4" w:space="0"/>
        </w:tcBorders>
        <w:shd w:val="clear" w:color="FFFFFF" w:fill="auto"/>
      </w:tcPr>
    </w:tblStylePr>
    <w:tblStylePr w:type="lastCol">
      <w:rPr>
        <w:rFonts w:ascii="Arial" w:hAnsi="Arial"/>
        <w:i/>
        <w:color w:val="416429" w:themeColor="accent6" w:themeShade="94"/>
        <w:sz w:val="22"/>
      </w:rPr>
      <w:tcPr>
        <w:tcBorders>
          <w:top w:val="nil"/>
          <w:left w:val="single" w:color="ADD394" w:themeColor="accent6" w:themeTint="90" w:sz="4" w:space="0"/>
          <w:bottom w:val="nil"/>
          <w:right w:val="nil"/>
        </w:tcBorders>
        <w:shd w:val="clear" w:color="FFFFFF" w:fill="auto"/>
      </w:tcPr>
    </w:tblStylePr>
    <w:tblStylePr w:type="band1Vert">
      <w:tcPr>
        <w:shd w:val="clear" w:color="E1EFD8" w:themeColor="accent6" w:themeTint="34" w:fill="E1EFD8" w:themeFill="accent6" w:themeFillTint="34"/>
      </w:tcPr>
    </w:tblStylePr>
    <w:tblStylePr w:type="band2Vert"/>
    <w:tblStylePr w:type="band1Horz">
      <w:rPr>
        <w:rFonts w:ascii="Arial" w:hAnsi="Arial"/>
        <w:color w:val="416429" w:themeColor="accent6" w:themeShade="94"/>
        <w:sz w:val="22"/>
      </w:rPr>
      <w:tcPr>
        <w:shd w:val="clear" w:color="E1EFD8" w:themeColor="accent6" w:themeTint="34" w:fill="E1EFD8" w:themeFill="accent6" w:themeFillTint="34"/>
      </w:tcPr>
    </w:tblStylePr>
    <w:tblStylePr w:type="band2Horz">
      <w:rPr>
        <w:rFonts w:ascii="Arial" w:hAnsi="Arial"/>
        <w:color w:val="416429" w:themeColor="accent6" w:themeShade="94"/>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2f5297db">
    <w:name w:val="List Table 1 Light2f5297db"/>
    <w:basedOn w:val="61463ef8"/>
    <w:qFormat/>
    <w:uiPriority w:val="99"/>
    <w:pPr>
      <w:spacing w:after="0" w:line="240" w:lineRule="auto"/>
    </w:p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themeColor="text1" w:themeTint="40" w:fill="BEBEBE" w:themeFill="text1" w:themeFillTint="40"/>
      </w:tcPr>
    </w:tblStylePr>
    <w:tblStylePr w:type="band2Vert"/>
    <w:tblStylePr w:type="band1Horz">
      <w:tcPr>
        <w:shd w:val="clear" w:color="BEBEBE" w:themeColor="text1" w:themeTint="40" w:fill="BEBEBE" w:themeFill="tex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c457e2ed">
    <w:name w:val="List Table 1 Light - Accent 1c457e2ed"/>
    <w:basedOn w:val="61463ef8"/>
    <w:qFormat/>
    <w:uiPriority w:val="99"/>
    <w:pPr>
      <w:spacing w:after="0" w:line="240" w:lineRule="auto"/>
    </w:pPr>
    <w:tblStylePr w:type="firstRow">
      <w:rPr>
        <w:b/>
        <w:color w:val="404040"/>
      </w:rPr>
      <w:tcPr>
        <w:tcBorders>
          <w:top w:val="nil"/>
          <w:left w:val="nil"/>
          <w:bottom w:val="single" w:color="5B9BD5" w:themeColor="accent1" w:sz="4" w:space="0"/>
          <w:right w:val="nil"/>
        </w:tcBorders>
      </w:tcPr>
    </w:tblStylePr>
    <w:tblStylePr w:type="lastRow">
      <w:rPr>
        <w:b/>
        <w:color w:val="404040"/>
      </w:rPr>
      <w:tcPr>
        <w:tcBorders>
          <w:top w:val="single" w:color="5B9BD5"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5E5F4" w:themeColor="accent1" w:themeTint="40" w:fill="D5E5F4" w:themeFill="accent1" w:themeFillTint="40"/>
      </w:tcPr>
    </w:tblStylePr>
    <w:tblStylePr w:type="band2Vert"/>
    <w:tblStylePr w:type="band1Horz">
      <w:tcPr>
        <w:shd w:val="clear" w:color="D5E5F4" w:themeColor="accent1" w:themeTint="40" w:fill="D5E5F4" w:themeFill="accen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f9942dd7">
    <w:name w:val="List Table 1 Light - Accent 2f9942dd7"/>
    <w:basedOn w:val="61463ef8"/>
    <w:qFormat/>
    <w:uiPriority w:val="99"/>
    <w:pPr>
      <w:spacing w:after="0" w:line="240" w:lineRule="auto"/>
    </w:pPr>
    <w:tblStylePr w:type="firstRow">
      <w:rPr>
        <w:b/>
        <w:color w:val="404040"/>
      </w:rPr>
      <w:tcPr>
        <w:tcBorders>
          <w:top w:val="nil"/>
          <w:left w:val="nil"/>
          <w:bottom w:val="single" w:color="ED7D31" w:themeColor="accent2" w:sz="4" w:space="0"/>
          <w:right w:val="nil"/>
        </w:tcBorders>
      </w:tcPr>
    </w:tblStylePr>
    <w:tblStylePr w:type="lastRow">
      <w:rPr>
        <w:b/>
        <w:color w:val="404040"/>
      </w:rPr>
      <w:tcPr>
        <w:tcBorders>
          <w:top w:val="single" w:color="ED7D31"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ADECB" w:themeColor="accent2" w:themeTint="40" w:fill="FADECB" w:themeFill="accent2" w:themeFillTint="40"/>
      </w:tcPr>
    </w:tblStylePr>
    <w:tblStylePr w:type="band2Vert"/>
    <w:tblStylePr w:type="band1Horz">
      <w:tcPr>
        <w:shd w:val="clear" w:color="FADECB" w:themeColor="accent2" w:themeTint="40" w:fill="FADECB" w:themeFill="accent2"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e780d4a6">
    <w:name w:val="List Table 1 Light - Accent 3e780d4a6"/>
    <w:basedOn w:val="61463ef8"/>
    <w:qFormat/>
    <w:uiPriority w:val="99"/>
    <w:pPr>
      <w:spacing w:after="0" w:line="240" w:lineRule="auto"/>
    </w:pPr>
    <w:tblStylePr w:type="firstRow">
      <w:rPr>
        <w:b/>
        <w:color w:val="404040"/>
      </w:rPr>
      <w:tcPr>
        <w:tcBorders>
          <w:top w:val="nil"/>
          <w:left w:val="nil"/>
          <w:bottom w:val="single" w:color="A5A5A5" w:themeColor="accent3" w:sz="4" w:space="0"/>
          <w:right w:val="nil"/>
        </w:tcBorders>
      </w:tcPr>
    </w:tblStylePr>
    <w:tblStylePr w:type="lastRow">
      <w:rPr>
        <w:b/>
        <w:color w:val="404040"/>
      </w:rPr>
      <w:tcPr>
        <w:tcBorders>
          <w:top w:val="single" w:color="A5A5A5"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8E8E8" w:themeColor="accent3" w:themeTint="40" w:fill="E8E8E8" w:themeFill="accent3" w:themeFillTint="40"/>
      </w:tcPr>
    </w:tblStylePr>
    <w:tblStylePr w:type="band2Vert"/>
    <w:tblStylePr w:type="band1Horz">
      <w:tcPr>
        <w:shd w:val="clear" w:color="E8E8E8" w:themeColor="accent3" w:themeTint="40" w:fill="E8E8E8" w:themeFill="accent3"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52a5e2a">
    <w:name w:val="List Table 1 Light - Accent 4152a5e2a"/>
    <w:basedOn w:val="61463ef8"/>
    <w:qFormat/>
    <w:uiPriority w:val="99"/>
    <w:pPr>
      <w:spacing w:after="0" w:line="240" w:lineRule="auto"/>
    </w:pPr>
    <w:tblStylePr w:type="firstRow">
      <w:rPr>
        <w:b/>
        <w:color w:val="404040"/>
      </w:rPr>
      <w:tcPr>
        <w:tcBorders>
          <w:top w:val="nil"/>
          <w:left w:val="nil"/>
          <w:bottom w:val="single" w:color="FFC000" w:themeColor="accent4" w:sz="4" w:space="0"/>
          <w:right w:val="nil"/>
        </w:tcBorders>
      </w:tcPr>
    </w:tblStylePr>
    <w:tblStylePr w:type="lastRow">
      <w:rPr>
        <w:b/>
        <w:color w:val="404040"/>
      </w:rPr>
      <w:tcPr>
        <w:tcBorders>
          <w:top w:val="single" w:color="FFC000"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EFBE" w:themeColor="accent4" w:themeTint="40" w:fill="FFEFBE" w:themeFill="accent4" w:themeFillTint="40"/>
      </w:tcPr>
    </w:tblStylePr>
    <w:tblStylePr w:type="band2Vert"/>
    <w:tblStylePr w:type="band1Horz">
      <w:tcPr>
        <w:shd w:val="clear" w:color="FFEFBE" w:themeColor="accent4" w:themeTint="40" w:fill="FFEFBE" w:themeFill="accent4"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ffe5f184">
    <w:name w:val="List Table 1 Light - Accent 5ffe5f184"/>
    <w:basedOn w:val="61463ef8"/>
    <w:qFormat/>
    <w:uiPriority w:val="99"/>
    <w:pPr>
      <w:spacing w:after="0" w:line="240" w:lineRule="auto"/>
    </w:pPr>
    <w:tblStylePr w:type="firstRow">
      <w:rPr>
        <w:b/>
        <w:color w:val="404040"/>
      </w:rPr>
      <w:tcPr>
        <w:tcBorders>
          <w:top w:val="nil"/>
          <w:left w:val="nil"/>
          <w:bottom w:val="single" w:color="4472C4" w:themeColor="accent5" w:sz="4" w:space="0"/>
          <w:right w:val="nil"/>
        </w:tcBorders>
      </w:tcPr>
    </w:tblStylePr>
    <w:tblStylePr w:type="lastRow">
      <w:rPr>
        <w:b/>
        <w:color w:val="404040"/>
      </w:rPr>
      <w:tcPr>
        <w:tcBorders>
          <w:top w:val="single" w:color="4472C4"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0DBF0" w:themeColor="accent5" w:themeTint="40" w:fill="D0DBF0" w:themeFill="accent5" w:themeFillTint="40"/>
      </w:tcPr>
    </w:tblStylePr>
    <w:tblStylePr w:type="band2Vert"/>
    <w:tblStylePr w:type="band1Horz">
      <w:tcPr>
        <w:shd w:val="clear" w:color="D0DBF0" w:themeColor="accent5" w:themeTint="40" w:fill="D0DBF0" w:themeFill="accent5"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bc9cee63">
    <w:name w:val="List Table 1 Light - Accent 6bc9cee63"/>
    <w:basedOn w:val="61463ef8"/>
    <w:qFormat/>
    <w:uiPriority w:val="99"/>
    <w:pPr>
      <w:spacing w:after="0" w:line="240" w:lineRule="auto"/>
    </w:pPr>
    <w:tblStylePr w:type="firstRow">
      <w:rPr>
        <w:b/>
        <w:color w:val="404040"/>
      </w:rPr>
      <w:tcPr>
        <w:tcBorders>
          <w:top w:val="nil"/>
          <w:left w:val="nil"/>
          <w:bottom w:val="single" w:color="70AD47" w:themeColor="accent6" w:sz="4" w:space="0"/>
          <w:right w:val="nil"/>
        </w:tcBorders>
      </w:tcPr>
    </w:tblStylePr>
    <w:tblStylePr w:type="lastRow">
      <w:rPr>
        <w:b/>
        <w:color w:val="404040"/>
      </w:rPr>
      <w:tcPr>
        <w:tcBorders>
          <w:top w:val="single" w:color="70AD47"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AEBCF" w:themeColor="accent6" w:themeTint="40" w:fill="DAEBCF" w:themeFill="accent6" w:themeFillTint="40"/>
      </w:tcPr>
    </w:tblStylePr>
    <w:tblStylePr w:type="band2Vert"/>
    <w:tblStylePr w:type="band1Horz">
      <w:tcPr>
        <w:shd w:val="clear" w:color="DAEBCF" w:themeColor="accent6" w:themeTint="40" w:fill="DAEBCF" w:themeFill="accent6"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3a0ac4f">
    <w:name w:val="List Table 233a0ac4f"/>
    <w:basedOn w:val="61463ef8"/>
    <w:qFormat/>
    <w:uiPriority w:val="99"/>
    <w:pPr>
      <w:spacing w:after="0" w:line="240" w:lineRule="auto"/>
    </w:pPr>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themeColor="text1" w:themeTint="40" w:fill="BEBEBE" w:themeFill="text1" w:themeFillTint="40"/>
      </w:tcPr>
    </w:tblStylePr>
    <w:tblStylePr w:type="band2Vert"/>
    <w:tblStylePr w:type="band1Horz">
      <w:rPr>
        <w:rFonts w:ascii="Arial" w:hAnsi="Arial"/>
        <w:color w:val="404040"/>
        <w:sz w:val="22"/>
      </w:rPr>
      <w:tcPr>
        <w:shd w:val="clear" w:color="BEBEBE" w:themeColor="text1" w:themeTint="40" w:fill="BEBEBE" w:themeFill="tex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db6aead5">
    <w:name w:val="List Table 2 - Accent 1db6aead5"/>
    <w:basedOn w:val="61463ef8"/>
    <w:qFormat/>
    <w:uiPriority w:val="99"/>
    <w:pPr>
      <w:spacing w:after="0" w:line="240" w:lineRule="auto"/>
    </w:pPr>
    <w:tblPr>
      <w:tblBorders>
        <w:top w:val="single" w:color="A2C6E7" w:themeColor="accent1" w:themeTint="90" w:sz="4" w:space="0"/>
        <w:bottom w:val="single" w:color="A2C6E7" w:themeColor="accent1" w:themeTint="90" w:sz="4" w:space="0"/>
        <w:insideH w:val="single" w:color="A2C6E7" w:themeColor="accent1" w:themeTint="90" w:sz="4" w:space="0"/>
      </w:tblBorders>
    </w:tblPr>
    <w:tblStylePr w:type="fir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la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5E5F4" w:themeColor="accent1" w:themeTint="40" w:fill="D5E5F4" w:themeFill="accent1" w:themeFillTint="40"/>
      </w:tcPr>
    </w:tblStylePr>
    <w:tblStylePr w:type="band2Vert"/>
    <w:tblStylePr w:type="band1Horz">
      <w:rPr>
        <w:rFonts w:ascii="Arial" w:hAnsi="Arial"/>
        <w:color w:val="404040"/>
        <w:sz w:val="22"/>
      </w:rPr>
      <w:tcPr>
        <w:shd w:val="clear" w:color="D5E5F4" w:themeColor="accent1" w:themeTint="40" w:fill="D5E5F4" w:themeFill="accen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f6b39670">
    <w:name w:val="List Table 2 - Accent 2f6b39670"/>
    <w:basedOn w:val="61463ef8"/>
    <w:qFormat/>
    <w:uiPriority w:val="99"/>
    <w:pPr>
      <w:spacing w:after="0" w:line="240" w:lineRule="auto"/>
    </w:pPr>
    <w:tblPr>
      <w:tblBorders>
        <w:top w:val="single" w:color="F4B58A" w:themeColor="accent2" w:themeTint="90" w:sz="4" w:space="0"/>
        <w:bottom w:val="single" w:color="F4B58A" w:themeColor="accent2" w:themeTint="90" w:sz="4" w:space="0"/>
        <w:insideH w:val="single" w:color="F4B58A" w:themeColor="accent2" w:themeTint="90" w:sz="4" w:space="0"/>
      </w:tblBorders>
    </w:tblPr>
    <w:tblStylePr w:type="fir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la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ADECB" w:themeColor="accent2" w:themeTint="40" w:fill="FADECB" w:themeFill="accent2" w:themeFillTint="40"/>
      </w:tcPr>
    </w:tblStylePr>
    <w:tblStylePr w:type="band2Vert"/>
    <w:tblStylePr w:type="band1Horz">
      <w:rPr>
        <w:rFonts w:ascii="Arial" w:hAnsi="Arial"/>
        <w:color w:val="404040"/>
        <w:sz w:val="22"/>
      </w:rPr>
      <w:tcPr>
        <w:shd w:val="clear" w:color="FADECB" w:themeColor="accent2" w:themeTint="40" w:fill="FADECB" w:themeFill="accent2"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c08ad391">
    <w:name w:val="List Table 2 - Accent 3c08ad391"/>
    <w:basedOn w:val="61463ef8"/>
    <w:qFormat/>
    <w:uiPriority w:val="99"/>
    <w:pPr>
      <w:spacing w:after="0" w:line="240" w:lineRule="auto"/>
    </w:pPr>
    <w:tblPr>
      <w:tblBorders>
        <w:top w:val="single" w:color="CCCCCC" w:themeColor="accent3" w:themeTint="90" w:sz="4" w:space="0"/>
        <w:bottom w:val="single" w:color="CCCCCC" w:themeColor="accent3" w:themeTint="90" w:sz="4" w:space="0"/>
        <w:insideH w:val="single" w:color="CCCCCC" w:themeColor="accent3" w:themeTint="90" w:sz="4" w:space="0"/>
      </w:tblBorders>
    </w:tblPr>
    <w:tblStylePr w:type="fir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la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8E8E8" w:themeColor="accent3" w:themeTint="40" w:fill="E8E8E8" w:themeFill="accent3" w:themeFillTint="40"/>
      </w:tcPr>
    </w:tblStylePr>
    <w:tblStylePr w:type="band2Vert"/>
    <w:tblStylePr w:type="band1Horz">
      <w:rPr>
        <w:rFonts w:ascii="Arial" w:hAnsi="Arial"/>
        <w:color w:val="404040"/>
        <w:sz w:val="22"/>
      </w:rPr>
      <w:tcPr>
        <w:shd w:val="clear" w:color="E8E8E8" w:themeColor="accent3" w:themeTint="40" w:fill="E8E8E8" w:themeFill="accent3"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5e4e2f2">
    <w:name w:val="List Table 2 - Accent 455e4e2f2"/>
    <w:basedOn w:val="61463ef8"/>
    <w:qFormat/>
    <w:uiPriority w:val="99"/>
    <w:pPr>
      <w:spacing w:after="0" w:line="240" w:lineRule="auto"/>
    </w:pPr>
    <w:tblPr>
      <w:tblBorders>
        <w:top w:val="single" w:color="FFDB6E" w:themeColor="accent4" w:themeTint="90" w:sz="4" w:space="0"/>
        <w:bottom w:val="single" w:color="FFDB6E" w:themeColor="accent4" w:themeTint="90" w:sz="4" w:space="0"/>
        <w:insideH w:val="single" w:color="FFDB6E" w:themeColor="accent4" w:themeTint="90" w:sz="4" w:space="0"/>
      </w:tblBorders>
    </w:tblPr>
    <w:tblStylePr w:type="fir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la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EFBE" w:themeColor="accent4" w:themeTint="40" w:fill="FFEFBE" w:themeFill="accent4" w:themeFillTint="40"/>
      </w:tcPr>
    </w:tblStylePr>
    <w:tblStylePr w:type="band2Vert"/>
    <w:tblStylePr w:type="band1Horz">
      <w:rPr>
        <w:rFonts w:ascii="Arial" w:hAnsi="Arial"/>
        <w:color w:val="404040"/>
        <w:sz w:val="22"/>
      </w:rPr>
      <w:tcPr>
        <w:shd w:val="clear" w:color="FFEFBE" w:themeColor="accent4" w:themeTint="40" w:fill="FFEFBE" w:themeFill="accent4"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c2c31672">
    <w:name w:val="List Table 2 - Accent 5c2c31672"/>
    <w:basedOn w:val="61463ef8"/>
    <w:qFormat/>
    <w:uiPriority w:val="99"/>
    <w:pPr>
      <w:spacing w:after="0" w:line="240" w:lineRule="auto"/>
    </w:pPr>
    <w:tblPr>
      <w:tblBorders>
        <w:top w:val="single" w:color="95AFDD" w:themeColor="accent5" w:themeTint="90" w:sz="4" w:space="0"/>
        <w:bottom w:val="single" w:color="95AFDD" w:themeColor="accent5" w:themeTint="90" w:sz="4" w:space="0"/>
        <w:insideH w:val="single" w:color="95AFDD" w:themeColor="accent5" w:themeTint="90" w:sz="4" w:space="0"/>
      </w:tblBorders>
    </w:tblPr>
    <w:tblStylePr w:type="fir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la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0DBF0" w:themeColor="accent5" w:themeTint="40" w:fill="D0DBF0" w:themeFill="accent5" w:themeFillTint="40"/>
      </w:tcPr>
    </w:tblStylePr>
    <w:tblStylePr w:type="band2Vert"/>
    <w:tblStylePr w:type="band1Horz">
      <w:rPr>
        <w:rFonts w:ascii="Arial" w:hAnsi="Arial"/>
        <w:color w:val="404040"/>
        <w:sz w:val="22"/>
      </w:rPr>
      <w:tcPr>
        <w:shd w:val="clear" w:color="D0DBF0" w:themeColor="accent5" w:themeTint="40" w:fill="D0DBF0" w:themeFill="accent5"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074008bf">
    <w:name w:val="List Table 2 - Accent 6074008bf"/>
    <w:basedOn w:val="61463ef8"/>
    <w:qFormat/>
    <w:uiPriority w:val="99"/>
    <w:pPr>
      <w:spacing w:after="0" w:line="240" w:lineRule="auto"/>
    </w:pPr>
    <w:tblPr>
      <w:tblBorders>
        <w:top w:val="single" w:color="ADD394" w:themeColor="accent6" w:themeTint="90" w:sz="4" w:space="0"/>
        <w:bottom w:val="single" w:color="ADD394" w:themeColor="accent6" w:themeTint="90" w:sz="4" w:space="0"/>
        <w:insideH w:val="single" w:color="ADD394" w:themeColor="accent6" w:themeTint="90" w:sz="4" w:space="0"/>
      </w:tblBorders>
    </w:tblPr>
    <w:tblStylePr w:type="fir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la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AEBCF" w:themeColor="accent6" w:themeTint="40" w:fill="DAEBCF" w:themeFill="accent6" w:themeFillTint="40"/>
      </w:tcPr>
    </w:tblStylePr>
    <w:tblStylePr w:type="band2Vert"/>
    <w:tblStylePr w:type="band1Horz">
      <w:rPr>
        <w:rFonts w:ascii="Arial" w:hAnsi="Arial"/>
        <w:color w:val="404040"/>
        <w:sz w:val="22"/>
      </w:rPr>
      <w:tcPr>
        <w:shd w:val="clear" w:color="DAEBCF" w:themeColor="accent6" w:themeTint="40" w:fill="DAEBCF" w:themeFill="accent6"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d45c348">
    <w:name w:val="List Table 31d45c348"/>
    <w:basedOn w:val="61463ef8"/>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2Vert"/>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5cf7438">
    <w:name w:val="List Table 3 - Accent 175cf7438"/>
    <w:basedOn w:val="61463ef8"/>
    <w:qFormat/>
    <w:uiPriority w:val="99"/>
    <w:pPr>
      <w:spacing w:after="0" w:line="240" w:lineRule="auto"/>
    </w:pPr>
    <w:tblPr>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firstRow">
      <w:rPr>
        <w:rFonts w:ascii="Arial" w:hAnsi="Arial"/>
        <w:b/>
        <w:color w:val="FFFFFF"/>
        <w:sz w:val="22"/>
      </w:r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5B9BD5" w:themeColor="accent1" w:sz="4" w:space="0"/>
          <w:right w:val="single" w:color="5B9BD5" w:themeColor="accent1" w:sz="4" w:space="0"/>
        </w:tcBorders>
      </w:tcPr>
    </w:tblStylePr>
    <w:tblStylePr w:type="band2Vert"/>
    <w:tblStylePr w:type="band1Horz">
      <w:rPr>
        <w:rFonts w:ascii="Arial" w:hAnsi="Arial"/>
        <w:color w:val="404040"/>
        <w:sz w:val="22"/>
      </w:rPr>
      <w:tcPr>
        <w:tcBorders>
          <w:top w:val="single" w:color="5B9BD5" w:themeColor="accent1" w:sz="4" w:space="0"/>
          <w:bottom w:val="single" w:color="5B9BD5" w:themeColor="accent1"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ca7a3ac">
    <w:name w:val="List Table 3 - Accent 25ca7a3ac"/>
    <w:basedOn w:val="61463ef8"/>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blBorders>
    </w:tblPr>
    <w:tblStylePr w:type="firstRow">
      <w:rPr>
        <w:rFonts w:ascii="Arial" w:hAnsi="Arial"/>
        <w:b/>
        <w:color w:val="FFFFFF"/>
        <w:sz w:val="22"/>
      </w:rPr>
      <w:tcPr>
        <w:shd w:val="clear" w:color="F4B285" w:themeColor="accent2" w:themeTint="97" w:fill="F4B2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4B285" w:themeColor="accent2" w:themeTint="97" w:sz="4" w:space="0"/>
          <w:right w:val="single" w:color="F4B285" w:themeColor="accent2" w:themeTint="97" w:sz="4" w:space="0"/>
        </w:tcBorders>
      </w:tcPr>
    </w:tblStylePr>
    <w:tblStylePr w:type="band2Vert"/>
    <w:tblStylePr w:type="band1Horz">
      <w:rPr>
        <w:rFonts w:ascii="Arial" w:hAnsi="Arial"/>
        <w:color w:val="404040"/>
        <w:sz w:val="22"/>
      </w:rPr>
      <w:tcPr>
        <w:tcBorders>
          <w:top w:val="single" w:color="F4B285" w:themeColor="accent2" w:themeTint="97" w:sz="4" w:space="0"/>
          <w:bottom w:val="single" w:color="F4B285" w:themeColor="accent2" w:themeTint="9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a4e1f646">
    <w:name w:val="List Table 3 - Accent 3a4e1f646"/>
    <w:basedOn w:val="61463ef8"/>
    <w:qFormat/>
    <w:uiPriority w:val="99"/>
    <w:pPr>
      <w:spacing w:after="0" w:line="240" w:lineRule="auto"/>
    </w:pPr>
    <w:tblPr>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firstRow">
      <w:rPr>
        <w:rFonts w:ascii="Arial" w:hAnsi="Arial"/>
        <w:b/>
        <w:color w:val="FFFFFF"/>
        <w:sz w:val="22"/>
      </w:r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band2Vert"/>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c57a8b0e">
    <w:name w:val="List Table 3 - Accent 4c57a8b0e"/>
    <w:basedOn w:val="61463ef8"/>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blBorders>
    </w:tblPr>
    <w:tblStylePr w:type="firstRow">
      <w:rPr>
        <w:rFonts w:ascii="Arial" w:hAnsi="Arial"/>
        <w:b/>
        <w:color w:val="FFFFFF"/>
        <w:sz w:val="22"/>
      </w:rPr>
      <w:tcPr>
        <w:shd w:val="clear" w:color="FFD864" w:themeColor="accent4" w:themeTint="9A" w:fill="FFD864"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FD864" w:themeColor="accent4" w:themeTint="9A" w:sz="4" w:space="0"/>
          <w:right w:val="single" w:color="FFD864" w:themeColor="accent4" w:themeTint="9A" w:sz="4" w:space="0"/>
        </w:tcBorders>
      </w:tcPr>
    </w:tblStylePr>
    <w:tblStylePr w:type="band2Vert"/>
    <w:tblStylePr w:type="band1Horz">
      <w:rPr>
        <w:rFonts w:ascii="Arial" w:hAnsi="Arial"/>
        <w:color w:val="404040"/>
        <w:sz w:val="22"/>
      </w:rPr>
      <w:tcPr>
        <w:tcBorders>
          <w:top w:val="single" w:color="FFD864" w:themeColor="accent4" w:themeTint="9A" w:sz="4" w:space="0"/>
          <w:bottom w:val="single" w:color="FFD864" w:themeColor="accent4" w:themeTint="9A"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dff50c5">
    <w:name w:val="List Table 3 - Accent 58dff50c5"/>
    <w:basedOn w:val="61463ef8"/>
    <w:qFormat/>
    <w:uiPriority w:val="99"/>
    <w:pPr>
      <w:spacing w:after="0" w:line="240" w:lineRule="auto"/>
    </w:pPr>
    <w:tblPr>
      <w:tblBorders>
        <w:top w:val="single" w:color="8EA9DB" w:themeColor="accent5" w:themeTint="9A" w:sz="4" w:space="0"/>
        <w:left w:val="single" w:color="8EA9DB" w:themeColor="accent5" w:themeTint="9A" w:sz="4" w:space="0"/>
        <w:bottom w:val="single" w:color="8EA9DB" w:themeColor="accent5" w:themeTint="9A" w:sz="4" w:space="0"/>
        <w:right w:val="single" w:color="8EA9DB" w:themeColor="accent5" w:themeTint="9A" w:sz="4" w:space="0"/>
      </w:tblBorders>
    </w:tblPr>
    <w:tblStylePr w:type="firstRow">
      <w:rPr>
        <w:rFonts w:ascii="Arial" w:hAnsi="Arial"/>
        <w:b/>
        <w:color w:val="FFFFFF"/>
        <w:sz w:val="22"/>
      </w:rPr>
      <w:tcPr>
        <w:shd w:val="clear" w:color="8EA9DB" w:themeColor="accent5" w:themeTint="9A" w:fill="8E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8EA9DB" w:themeColor="accent5" w:themeTint="9A" w:sz="4" w:space="0"/>
          <w:right w:val="single" w:color="8EA9DB" w:themeColor="accent5" w:themeTint="9A" w:sz="4" w:space="0"/>
        </w:tcBorders>
      </w:tcPr>
    </w:tblStylePr>
    <w:tblStylePr w:type="band2Vert"/>
    <w:tblStylePr w:type="band1Horz">
      <w:rPr>
        <w:rFonts w:ascii="Arial" w:hAnsi="Arial"/>
        <w:color w:val="404040"/>
        <w:sz w:val="22"/>
      </w:rPr>
      <w:tcPr>
        <w:tcBorders>
          <w:top w:val="single" w:color="8EA9DB" w:themeColor="accent5" w:themeTint="9A" w:sz="4" w:space="0"/>
          <w:bottom w:val="single" w:color="8EA9DB" w:themeColor="accent5" w:themeTint="9A"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f6cc5a9a">
    <w:name w:val="List Table 3 - Accent 6f6cc5a9a"/>
    <w:basedOn w:val="61463ef8"/>
    <w:qFormat/>
    <w:uiPriority w:val="99"/>
    <w:pPr>
      <w:spacing w:after="0" w:line="240" w:lineRule="auto"/>
    </w:pPr>
    <w:tblPr>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firstRow">
      <w:rPr>
        <w:rFonts w:ascii="Arial" w:hAnsi="Arial"/>
        <w:b/>
        <w:color w:val="FFFFFF"/>
        <w:sz w:val="22"/>
      </w:r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band2Vert"/>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8f6a5eb">
    <w:name w:val="List Table 438f6a5eb"/>
    <w:basedOn w:val="61463ef8"/>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themeColor="text1" w:themeTint="40" w:fill="BEBEBE" w:themeFill="text1" w:themeFillTint="40"/>
      </w:tcPr>
    </w:tblStylePr>
    <w:tblStylePr w:type="band2Vert"/>
    <w:tblStylePr w:type="band1Horz">
      <w:rPr>
        <w:rFonts w:ascii="Arial" w:hAnsi="Arial"/>
        <w:color w:val="404040"/>
        <w:sz w:val="22"/>
      </w:rPr>
      <w:tcPr>
        <w:shd w:val="clear" w:color="BEBEBE" w:themeColor="text1" w:themeTint="40" w:fill="BEBEBE" w:themeFill="tex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c70f7a22">
    <w:name w:val="List Table 4 - Accent 1c70f7a22"/>
    <w:basedOn w:val="61463ef8"/>
    <w:qFormat/>
    <w:uiPriority w:val="9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firstRow">
      <w:rPr>
        <w:rFonts w:ascii="Arial" w:hAnsi="Arial"/>
        <w:b/>
        <w:color w:val="FFFFFF"/>
        <w:sz w:val="22"/>
      </w:r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5E5F4" w:themeColor="accent1" w:themeTint="40" w:fill="D5E5F4" w:themeFill="accent1" w:themeFillTint="40"/>
      </w:tcPr>
    </w:tblStylePr>
    <w:tblStylePr w:type="band2Vert"/>
    <w:tblStylePr w:type="band1Horz">
      <w:rPr>
        <w:rFonts w:ascii="Arial" w:hAnsi="Arial"/>
        <w:color w:val="404040"/>
        <w:sz w:val="22"/>
      </w:rPr>
      <w:tcPr>
        <w:shd w:val="clear" w:color="D5E5F4" w:themeColor="accent1" w:themeTint="40" w:fill="D5E5F4" w:themeFill="accen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6f094f1">
    <w:name w:val="List Table 4 - Accent 276f094f1"/>
    <w:basedOn w:val="61463ef8"/>
    <w:qFormat/>
    <w:uiPriority w:val="9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firstRow">
      <w:rPr>
        <w:rFonts w:ascii="Arial" w:hAnsi="Arial"/>
        <w:b/>
        <w:color w:val="FFFFFF"/>
        <w:sz w:val="22"/>
      </w:r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ADECB" w:themeColor="accent2" w:themeTint="40" w:fill="FADECB" w:themeFill="accent2" w:themeFillTint="40"/>
      </w:tcPr>
    </w:tblStylePr>
    <w:tblStylePr w:type="band2Vert"/>
    <w:tblStylePr w:type="band1Horz">
      <w:rPr>
        <w:rFonts w:ascii="Arial" w:hAnsi="Arial"/>
        <w:color w:val="404040"/>
        <w:sz w:val="22"/>
      </w:rPr>
      <w:tcPr>
        <w:shd w:val="clear" w:color="FADECB" w:themeColor="accent2" w:themeTint="40" w:fill="FADECB" w:themeFill="accent2"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10a8722">
    <w:name w:val="List Table 4 - Accent 3710a8722"/>
    <w:basedOn w:val="61463ef8"/>
    <w:qFormat/>
    <w:uiPriority w:val="9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firstRow">
      <w:rPr>
        <w:rFonts w:ascii="Arial" w:hAnsi="Arial"/>
        <w:b/>
        <w:color w:val="FFFFFF"/>
        <w:sz w:val="22"/>
      </w:r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8E8E8" w:themeColor="accent3" w:themeTint="40" w:fill="E8E8E8" w:themeFill="accent3" w:themeFillTint="40"/>
      </w:tcPr>
    </w:tblStylePr>
    <w:tblStylePr w:type="band2Vert"/>
    <w:tblStylePr w:type="band1Horz">
      <w:rPr>
        <w:rFonts w:ascii="Arial" w:hAnsi="Arial"/>
        <w:color w:val="404040"/>
        <w:sz w:val="22"/>
      </w:rPr>
      <w:tcPr>
        <w:shd w:val="clear" w:color="E8E8E8" w:themeColor="accent3" w:themeTint="40" w:fill="E8E8E8" w:themeFill="accent3"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9d0e985">
    <w:name w:val="List Table 4 - Accent 419d0e985"/>
    <w:basedOn w:val="61463ef8"/>
    <w:qFormat/>
    <w:uiPriority w:val="9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tblBorders>
    </w:tblPr>
    <w:tblStylePr w:type="firstRow">
      <w:rPr>
        <w:rFonts w:ascii="Arial" w:hAnsi="Arial"/>
        <w:b/>
        <w:color w:val="FFFFFF"/>
        <w:sz w:val="22"/>
      </w:r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EFBE" w:themeColor="accent4" w:themeTint="40" w:fill="FFEFBE" w:themeFill="accent4" w:themeFillTint="40"/>
      </w:tcPr>
    </w:tblStylePr>
    <w:tblStylePr w:type="band2Vert"/>
    <w:tblStylePr w:type="band1Horz">
      <w:rPr>
        <w:rFonts w:ascii="Arial" w:hAnsi="Arial"/>
        <w:color w:val="404040"/>
        <w:sz w:val="22"/>
      </w:rPr>
      <w:tcPr>
        <w:shd w:val="clear" w:color="FFEFBE" w:themeColor="accent4" w:themeTint="40" w:fill="FFEFBE" w:themeFill="accent4"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b4425fd">
    <w:name w:val="List Table 4 - Accent 59b4425fd"/>
    <w:basedOn w:val="61463ef8"/>
    <w:qFormat/>
    <w:uiPriority w:val="9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firstRow">
      <w:rPr>
        <w:rFonts w:ascii="Arial" w:hAnsi="Arial"/>
        <w:b/>
        <w:color w:val="FFFFFF"/>
        <w:sz w:val="22"/>
      </w:r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0DBF0" w:themeColor="accent5" w:themeTint="40" w:fill="D0DBF0" w:themeFill="accent5" w:themeFillTint="40"/>
      </w:tcPr>
    </w:tblStylePr>
    <w:tblStylePr w:type="band2Vert"/>
    <w:tblStylePr w:type="band1Horz">
      <w:rPr>
        <w:rFonts w:ascii="Arial" w:hAnsi="Arial"/>
        <w:color w:val="404040"/>
        <w:sz w:val="22"/>
      </w:rPr>
      <w:tcPr>
        <w:shd w:val="clear" w:color="D0DBF0" w:themeColor="accent5" w:themeTint="40" w:fill="D0DBF0" w:themeFill="accent5"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9c56536">
    <w:name w:val="List Table 4 - Accent 699c56536"/>
    <w:basedOn w:val="61463ef8"/>
    <w:qFormat/>
    <w:uiPriority w:val="9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firstRow">
      <w:rPr>
        <w:rFonts w:ascii="Arial" w:hAnsi="Arial"/>
        <w:b/>
        <w:color w:val="FFFFFF"/>
        <w:sz w:val="22"/>
      </w:r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BCF" w:themeColor="accent6" w:themeTint="40" w:fill="DAEBCF" w:themeFill="accent6" w:themeFillTint="40"/>
      </w:tcPr>
    </w:tblStylePr>
    <w:tblStylePr w:type="band2Vert"/>
    <w:tblStylePr w:type="band1Horz">
      <w:rPr>
        <w:rFonts w:ascii="Arial" w:hAnsi="Arial"/>
        <w:color w:val="404040"/>
        <w:sz w:val="22"/>
      </w:rPr>
      <w:tcPr>
        <w:shd w:val="clear" w:color="DAEBCF" w:themeColor="accent6" w:themeTint="40" w:fill="DAEBCF" w:themeFill="accent6"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b22ac49d">
    <w:name w:val="List Table 5 Darkb22ac49d"/>
    <w:basedOn w:val="61463ef8"/>
    <w:qFormat/>
    <w:uiPriority w:val="99"/>
    <w:pPr>
      <w:spacing w:after="0" w:line="240" w:lineRule="auto"/>
    </w:pPr>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themeColor="text1" w:themeTint="80" w:fill="7E7E7E" w:themeFill="text1" w:themeFillTint="80"/>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themeColor="text1" w:themeTint="80" w:fill="7E7E7E" w:themeFill="text1" w:themeFillTint="80"/>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band2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2225f8ed">
    <w:name w:val="List Table 5 Dark - Accent 12225f8ed"/>
    <w:basedOn w:val="61463ef8"/>
    <w:qFormat/>
    <w:uiPriority w:val="99"/>
    <w:pPr>
      <w:spacing w:after="0" w:line="240" w:lineRule="auto"/>
    </w:pPr>
    <w:tblPr>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5B9BD5" w:themeColor="accent1" w:sz="32" w:space="0"/>
          <w:bottom w:val="single" w:color="FFFFFF" w:themeColor="light1" w:sz="12" w:space="0"/>
        </w:tcBorders>
        <w:shd w:val="clear" w:color="5B9BD5" w:themeColor="accent1" w:fill="5B9BD5" w:themeFill="accent1"/>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5B9BD5" w:themeColor="accent1" w:sz="32" w:space="0"/>
          <w:right w:val="single" w:color="FFFFFF" w:themeColor="light1" w:sz="4" w:space="0"/>
        </w:tcBorders>
      </w:tcPr>
    </w:tblStylePr>
    <w:tblStylePr w:type="lastCol">
      <w:tcPr>
        <w:tcBorders>
          <w:left w:val="single" w:color="FFFFFF" w:themeColor="light1" w:sz="4" w:space="0"/>
          <w:right w:val="single" w:color="5B9BD5" w:themeColor="accent1" w:sz="32" w:space="0"/>
        </w:tcBorders>
      </w:tcPr>
    </w:tblStylePr>
    <w:tblStylePr w:type="band1Vert">
      <w:tcPr>
        <w:tcBorders>
          <w:left w:val="single" w:color="FFFFFF" w:themeColor="light1" w:sz="4" w:space="0"/>
          <w:right w:val="single" w:color="FFFFFF" w:themeColor="light1" w:sz="4" w:space="0"/>
        </w:tcBorders>
        <w:shd w:val="clear" w:color="5B9BD5" w:themeColor="accent1" w:fill="5B9BD5" w:themeFill="accent1"/>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5B9BD5" w:themeColor="accent1" w:fill="5B9BD5" w:themeFill="accent1"/>
      </w:tcPr>
    </w:tblStylePr>
    <w:tblStylePr w:type="band2Horz">
      <w:tcPr>
        <w:tcBorders>
          <w:top w:val="single" w:color="FFFFFF" w:themeColor="light1" w:sz="4" w:space="0"/>
          <w:bottom w:val="single" w:color="FFFFFF" w:themeColor="light1" w:sz="4" w:space="0"/>
        </w:tcBorders>
        <w:shd w:val="clear" w:color="5B9BD5" w:themeColor="accent1" w:fill="5B9BD5" w:themeFill="accent1"/>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da8b9df4">
    <w:name w:val="List Table 5 Dark - Accent 2da8b9df4"/>
    <w:basedOn w:val="61463ef8"/>
    <w:qFormat/>
    <w:uiPriority w:val="99"/>
    <w:pPr>
      <w:spacing w:after="0" w:line="240" w:lineRule="auto"/>
    </w:pPr>
    <w:tblPr>
      <w:tblBorders>
        <w:top w:val="single" w:color="F4B285" w:themeColor="accent2" w:themeTint="97" w:sz="32" w:space="0"/>
        <w:left w:val="single" w:color="F4B285" w:themeColor="accent2" w:themeTint="97" w:sz="32" w:space="0"/>
        <w:bottom w:val="single" w:color="F4B285" w:themeColor="accent2" w:themeTint="97" w:sz="32" w:space="0"/>
        <w:right w:val="single" w:color="F4B28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F4B285" w:themeColor="accent2" w:themeTint="97" w:sz="32" w:space="0"/>
          <w:bottom w:val="single" w:color="FFFFFF" w:themeColor="light1" w:sz="12" w:space="0"/>
        </w:tcBorders>
        <w:shd w:val="clear" w:color="F4B285" w:themeColor="accent2" w:themeTint="97" w:fill="F4B285" w:themeFill="accent2" w:themeFillTint="97"/>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4B285" w:themeColor="accent2" w:themeTint="97" w:sz="32" w:space="0"/>
          <w:right w:val="single" w:color="FFFFFF" w:themeColor="light1" w:sz="4" w:space="0"/>
        </w:tcBorders>
      </w:tcPr>
    </w:tblStylePr>
    <w:tblStylePr w:type="lastCol">
      <w:tcPr>
        <w:tcBorders>
          <w:left w:val="single" w:color="FFFFFF" w:themeColor="light1" w:sz="4" w:space="0"/>
          <w:right w:val="single" w:color="F4B285" w:themeColor="accent2" w:themeTint="97" w:sz="32" w:space="0"/>
        </w:tcBorders>
      </w:tcPr>
    </w:tblStylePr>
    <w:tblStylePr w:type="band1Vert">
      <w:tcPr>
        <w:tcBorders>
          <w:left w:val="single" w:color="FFFFFF" w:themeColor="light1" w:sz="4" w:space="0"/>
          <w:right w:val="single" w:color="FFFFFF" w:themeColor="light1" w:sz="4" w:space="0"/>
        </w:tcBorders>
        <w:shd w:val="clear" w:color="F4B285" w:themeColor="accent2" w:themeTint="97" w:fill="F4B285" w:themeFill="accent2" w:themeFillTint="97"/>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4B285" w:themeColor="accent2" w:themeTint="97" w:fill="F4B285" w:themeFill="accent2" w:themeFillTint="97"/>
      </w:tcPr>
    </w:tblStylePr>
    <w:tblStylePr w:type="band2Horz">
      <w:tcPr>
        <w:tcBorders>
          <w:top w:val="single" w:color="FFFFFF" w:themeColor="light1" w:sz="4" w:space="0"/>
          <w:bottom w:val="single" w:color="FFFFFF" w:themeColor="light1" w:sz="4" w:space="0"/>
        </w:tcBorders>
        <w:shd w:val="clear" w:color="F4B285" w:themeColor="accent2" w:themeTint="97" w:fill="F4B285" w:themeFill="accent2" w:themeFillTint="97"/>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7408859">
    <w:name w:val="List Table 5 Dark - Accent 317408859"/>
    <w:basedOn w:val="61463ef8"/>
    <w:qFormat/>
    <w:uiPriority w:val="99"/>
    <w:pPr>
      <w:spacing w:after="0" w:line="240" w:lineRule="auto"/>
    </w:pPr>
    <w:tblPr>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9C9C9" w:themeColor="accent3" w:themeTint="98" w:sz="32" w:space="0"/>
          <w:bottom w:val="single" w:color="FFFFFF" w:themeColor="light1" w:sz="12" w:space="0"/>
        </w:tcBorders>
        <w:shd w:val="clear" w:color="C9C9C9" w:themeColor="accent3" w:themeTint="98" w:fill="C9C9C9" w:themeFill="accent3"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9C9C9" w:themeColor="accent3" w:themeTint="98" w:sz="32" w:space="0"/>
          <w:right w:val="single" w:color="FFFFFF" w:themeColor="light1" w:sz="4" w:space="0"/>
        </w:tcBorders>
      </w:tcPr>
    </w:tblStylePr>
    <w:tblStylePr w:type="lastCol">
      <w:tcPr>
        <w:tcBorders>
          <w:left w:val="single" w:color="FFFFFF" w:themeColor="light1" w:sz="4" w:space="0"/>
          <w:right w:val="single" w:color="C9C9C9" w:themeColor="accent3" w:themeTint="98" w:sz="32" w:space="0"/>
        </w:tcBorders>
      </w:tcPr>
    </w:tblStylePr>
    <w:tblStylePr w:type="band1Vert">
      <w:tcPr>
        <w:tcBorders>
          <w:left w:val="single" w:color="FFFFFF" w:themeColor="light1" w:sz="4" w:space="0"/>
          <w:right w:val="single" w:color="FFFFFF" w:themeColor="light1" w:sz="4" w:space="0"/>
        </w:tcBorders>
        <w:shd w:val="clear" w:color="C9C9C9" w:themeColor="accent3" w:themeTint="98" w:fill="C9C9C9" w:themeFill="accent3"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9C9C9" w:themeColor="accent3" w:themeTint="98" w:fill="C9C9C9" w:themeFill="accent3" w:themeFillTint="98"/>
      </w:tcPr>
    </w:tblStylePr>
    <w:tblStylePr w:type="band2Horz">
      <w:tcPr>
        <w:tcBorders>
          <w:top w:val="single" w:color="FFFFFF" w:themeColor="light1" w:sz="4" w:space="0"/>
          <w:bottom w:val="single" w:color="FFFFFF" w:themeColor="light1" w:sz="4" w:space="0"/>
        </w:tcBorders>
        <w:shd w:val="clear" w:color="C9C9C9" w:themeColor="accent3" w:themeTint="98" w:fill="C9C9C9" w:themeFill="accent3" w:themeFillTint="98"/>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fa1c588c">
    <w:name w:val="List Table 5 Dark - Accent 4fa1c588c"/>
    <w:basedOn w:val="61463ef8"/>
    <w:qFormat/>
    <w:uiPriority w:val="99"/>
    <w:pPr>
      <w:spacing w:after="0" w:line="240" w:lineRule="auto"/>
    </w:pPr>
    <w:tblPr>
      <w:tblBorders>
        <w:top w:val="single" w:color="FFD864" w:themeColor="accent4" w:themeTint="9A" w:sz="32" w:space="0"/>
        <w:left w:val="single" w:color="FFD864" w:themeColor="accent4" w:themeTint="9A" w:sz="32" w:space="0"/>
        <w:bottom w:val="single" w:color="FFD864" w:themeColor="accent4" w:themeTint="9A" w:sz="32" w:space="0"/>
        <w:right w:val="single" w:color="FFD864"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FFD864" w:themeColor="accent4" w:themeTint="9A" w:sz="32" w:space="0"/>
          <w:bottom w:val="single" w:color="FFFFFF" w:themeColor="light1" w:sz="12" w:space="0"/>
        </w:tcBorders>
        <w:shd w:val="clear" w:color="FFD864" w:themeColor="accent4" w:themeTint="9A" w:fill="FFD864" w:themeFill="accent4"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FD864" w:themeColor="accent4" w:themeTint="9A" w:sz="32" w:space="0"/>
          <w:right w:val="single" w:color="FFFFFF" w:themeColor="light1" w:sz="4" w:space="0"/>
        </w:tcBorders>
      </w:tcPr>
    </w:tblStylePr>
    <w:tblStylePr w:type="lastCol">
      <w:tcPr>
        <w:tcBorders>
          <w:left w:val="single" w:color="FFFFFF" w:themeColor="light1" w:sz="4" w:space="0"/>
          <w:right w:val="single" w:color="FFD864" w:themeColor="accent4" w:themeTint="9A" w:sz="32" w:space="0"/>
        </w:tcBorders>
      </w:tcPr>
    </w:tblStylePr>
    <w:tblStylePr w:type="band1Vert">
      <w:tcPr>
        <w:tcBorders>
          <w:left w:val="single" w:color="FFFFFF" w:themeColor="light1" w:sz="4" w:space="0"/>
          <w:right w:val="single" w:color="FFFFFF" w:themeColor="light1" w:sz="4" w:space="0"/>
        </w:tcBorders>
        <w:shd w:val="clear" w:color="FFD864" w:themeColor="accent4" w:themeTint="9A" w:fill="FFD864" w:themeFill="accent4"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D864" w:themeColor="accent4" w:themeTint="9A" w:fill="FFD864" w:themeFill="accent4" w:themeFillTint="9A"/>
      </w:tcPr>
    </w:tblStylePr>
    <w:tblStylePr w:type="band2Horz">
      <w:tcPr>
        <w:tcBorders>
          <w:top w:val="single" w:color="FFFFFF" w:themeColor="light1" w:sz="4" w:space="0"/>
          <w:bottom w:val="single" w:color="FFFFFF" w:themeColor="light1" w:sz="4" w:space="0"/>
        </w:tcBorders>
        <w:shd w:val="clear" w:color="FFD864" w:themeColor="accent4" w:themeTint="9A" w:fill="FFD864" w:themeFill="accent4" w:themeFillTint="9A"/>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a2b38573">
    <w:name w:val="List Table 5 Dark - Accent 5a2b38573"/>
    <w:basedOn w:val="61463ef8"/>
    <w:qFormat/>
    <w:uiPriority w:val="99"/>
    <w:pPr>
      <w:spacing w:after="0" w:line="240" w:lineRule="auto"/>
    </w:pPr>
    <w:tblPr>
      <w:tblBorders>
        <w:top w:val="single" w:color="8EA9DB" w:themeColor="accent5" w:themeTint="9A" w:sz="32" w:space="0"/>
        <w:left w:val="single" w:color="8EA9DB" w:themeColor="accent5" w:themeTint="9A" w:sz="32" w:space="0"/>
        <w:bottom w:val="single" w:color="8EA9DB" w:themeColor="accent5" w:themeTint="9A" w:sz="32" w:space="0"/>
        <w:right w:val="single" w:color="8EA9DB"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8EA9DB" w:themeColor="accent5" w:themeTint="9A" w:sz="32" w:space="0"/>
          <w:bottom w:val="single" w:color="FFFFFF" w:themeColor="light1" w:sz="12" w:space="0"/>
        </w:tcBorders>
        <w:shd w:val="clear" w:color="8EA9DB" w:themeColor="accent5" w:themeTint="9A" w:fill="8EA9DB" w:themeFill="accent5"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8EA9DB" w:themeColor="accent5" w:themeTint="9A" w:sz="32" w:space="0"/>
          <w:right w:val="single" w:color="FFFFFF" w:themeColor="light1" w:sz="4" w:space="0"/>
        </w:tcBorders>
      </w:tcPr>
    </w:tblStylePr>
    <w:tblStylePr w:type="lastCol">
      <w:tcPr>
        <w:tcBorders>
          <w:left w:val="single" w:color="FFFFFF" w:themeColor="light1" w:sz="4" w:space="0"/>
          <w:right w:val="single" w:color="8EA9DB" w:themeColor="accent5" w:themeTint="9A" w:sz="32" w:space="0"/>
        </w:tcBorders>
      </w:tcPr>
    </w:tblStylePr>
    <w:tblStylePr w:type="band1Vert">
      <w:tcPr>
        <w:tcBorders>
          <w:left w:val="single" w:color="FFFFFF" w:themeColor="light1" w:sz="4" w:space="0"/>
          <w:right w:val="single" w:color="FFFFFF" w:themeColor="light1" w:sz="4" w:space="0"/>
        </w:tcBorders>
        <w:shd w:val="clear" w:color="8EA9DB" w:themeColor="accent5" w:themeTint="9A" w:fill="8EA9DB" w:themeFill="accent5"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8EA9DB" w:themeColor="accent5" w:themeTint="9A" w:fill="8EA9DB" w:themeFill="accent5" w:themeFillTint="9A"/>
      </w:tcPr>
    </w:tblStylePr>
    <w:tblStylePr w:type="band2Horz">
      <w:tcPr>
        <w:tcBorders>
          <w:top w:val="single" w:color="FFFFFF" w:themeColor="light1" w:sz="4" w:space="0"/>
          <w:bottom w:val="single" w:color="FFFFFF" w:themeColor="light1" w:sz="4" w:space="0"/>
        </w:tcBorders>
        <w:shd w:val="clear" w:color="8EA9DB" w:themeColor="accent5" w:themeTint="9A" w:fill="8EA9DB" w:themeFill="accent5" w:themeFillTint="9A"/>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70b4ee2">
    <w:name w:val="List Table 5 Dark - Accent 6570b4ee2"/>
    <w:basedOn w:val="61463ef8"/>
    <w:qFormat/>
    <w:uiPriority w:val="99"/>
    <w:pPr>
      <w:spacing w:after="0" w:line="240" w:lineRule="auto"/>
    </w:pPr>
    <w:tblPr>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A9D08E" w:themeColor="accent6" w:themeTint="98" w:sz="32" w:space="0"/>
          <w:bottom w:val="single" w:color="FFFFFF" w:themeColor="light1" w:sz="12" w:space="0"/>
        </w:tcBorders>
        <w:shd w:val="clear" w:color="A9D08E" w:themeColor="accent6" w:themeTint="98" w:fill="A9D08E" w:themeFill="accent6"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A9D08E" w:themeColor="accent6" w:themeTint="98" w:sz="32" w:space="0"/>
          <w:right w:val="single" w:color="FFFFFF" w:themeColor="light1" w:sz="4" w:space="0"/>
        </w:tcBorders>
      </w:tcPr>
    </w:tblStylePr>
    <w:tblStylePr w:type="lastCol">
      <w:tcPr>
        <w:tcBorders>
          <w:left w:val="single" w:color="FFFFFF" w:themeColor="light1" w:sz="4" w:space="0"/>
          <w:right w:val="single" w:color="A9D08E" w:themeColor="accent6" w:themeTint="98" w:sz="32" w:space="0"/>
        </w:tcBorders>
      </w:tcPr>
    </w:tblStylePr>
    <w:tblStylePr w:type="band1Vert">
      <w:tcPr>
        <w:tcBorders>
          <w:left w:val="single" w:color="FFFFFF" w:themeColor="light1" w:sz="4" w:space="0"/>
          <w:right w:val="single" w:color="FFFFFF" w:themeColor="light1" w:sz="4" w:space="0"/>
        </w:tcBorders>
        <w:shd w:val="clear" w:color="A9D08E" w:themeColor="accent6" w:themeTint="98" w:fill="A9D08E" w:themeFill="accent6"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9D08E" w:themeColor="accent6" w:themeTint="98" w:fill="A9D08E" w:themeFill="accent6" w:themeFillTint="98"/>
      </w:tcPr>
    </w:tblStylePr>
    <w:tblStylePr w:type="band2Horz">
      <w:tcPr>
        <w:tcBorders>
          <w:top w:val="single" w:color="FFFFFF" w:themeColor="light1" w:sz="4" w:space="0"/>
          <w:bottom w:val="single" w:color="FFFFFF" w:themeColor="light1" w:sz="4" w:space="0"/>
        </w:tcBorders>
        <w:shd w:val="clear" w:color="A9D08E" w:themeColor="accent6" w:themeTint="98" w:fill="A9D08E" w:themeFill="accent6" w:themeFillTint="98"/>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a9323bae">
    <w:name w:val="List Table 6 Colorfula9323bae"/>
    <w:basedOn w:val="61463ef8"/>
    <w:qFormat/>
    <w:uiPriority w:val="99"/>
    <w:pPr>
      <w:spacing w:after="0" w:line="240" w:lineRule="auto"/>
    </w:pPr>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themeColor="text1" w:themeTint="40" w:fill="BEBEBE" w:themeFill="text1" w:themeFillTint="40"/>
      </w:tcPr>
    </w:tblStylePr>
    <w:tblStylePr w:type="band2Vert"/>
    <w:tblStylePr w:type="band1Horz">
      <w:rPr>
        <w:rFonts w:ascii="Arial" w:hAnsi="Arial"/>
        <w:color w:val="000000" w:themeColor="text1"/>
        <w:sz w:val="22"/>
        <w14:textFill>
          <w14:solidFill>
            <w14:schemeClr w14:val="tx1"/>
          </w14:solidFill>
        </w14:textFill>
      </w:rPr>
      <w:tcPr>
        <w:shd w:val="clear" w:color="BEBEBE" w:themeColor="text1" w:themeTint="40" w:fill="BEBEBE" w:themeFill="text1" w:themeFillTint="40"/>
      </w:tcPr>
    </w:tblStylePr>
    <w:tblStylePr w:type="band2Horz">
      <w:rPr>
        <w:rFonts w:ascii="Arial" w:hAnsi="Arial"/>
        <w:color w:val="000000" w:themeColor="text1"/>
        <w:sz w:val="22"/>
        <w14:textFill>
          <w14:solidFill>
            <w14:schemeClr w14:val="tx1"/>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067825f">
    <w:name w:val="List Table 6 Colorful - Accent 13067825f"/>
    <w:basedOn w:val="61463ef8"/>
    <w:qFormat/>
    <w:uiPriority w:val="99"/>
    <w:pPr>
      <w:spacing w:after="0" w:line="240" w:lineRule="auto"/>
    </w:pPr>
    <w:tblPr>
      <w:tblBorders>
        <w:top w:val="single" w:color="5B9BD5" w:themeColor="accent1" w:sz="4" w:space="0"/>
        <w:bottom w:val="single" w:color="5B9BD5" w:themeColor="accent1" w:sz="4" w:space="0"/>
      </w:tblBorders>
    </w:tblPr>
    <w:tblStylePr w:type="firstRow">
      <w:rPr>
        <w:b/>
        <w:color w:val="245B8C" w:themeColor="accent1" w:themeShade="94"/>
      </w:rPr>
      <w:tcPr>
        <w:tcBorders>
          <w:bottom w:val="single" w:color="5B9BD5" w:themeColor="accent1" w:sz="4" w:space="0"/>
        </w:tcBorders>
      </w:tcPr>
    </w:tblStylePr>
    <w:tblStylePr w:type="lastRow">
      <w:rPr>
        <w:b/>
        <w:color w:val="245B8C" w:themeColor="accent1" w:themeShade="94"/>
      </w:rPr>
      <w:tcPr>
        <w:tcBorders>
          <w:top w:val="single" w:color="5B9BD5" w:themeColor="accent1" w:sz="4" w:space="0"/>
        </w:tcBorders>
      </w:tcPr>
    </w:tblStylePr>
    <w:tblStylePr w:type="firstCol">
      <w:rPr>
        <w:b/>
        <w:color w:val="245B8C" w:themeColor="accent1" w:themeShade="94"/>
      </w:rPr>
    </w:tblStylePr>
    <w:tblStylePr w:type="lastCol">
      <w:rPr>
        <w:b/>
        <w:color w:val="245B8C" w:themeColor="accent1" w:themeShade="94"/>
      </w:rPr>
    </w:tblStylePr>
    <w:tblStylePr w:type="band1Vert">
      <w:tcPr>
        <w:shd w:val="clear" w:color="D5E5F4" w:themeColor="accent1" w:themeTint="40" w:fill="D5E5F4" w:themeFill="accent1" w:themeFillTint="40"/>
      </w:tcPr>
    </w:tblStylePr>
    <w:tblStylePr w:type="band2Vert"/>
    <w:tblStylePr w:type="band1Horz">
      <w:rPr>
        <w:rFonts w:ascii="Arial" w:hAnsi="Arial"/>
        <w:color w:val="245B8C" w:themeColor="accent1" w:themeShade="94"/>
        <w:sz w:val="22"/>
      </w:rPr>
      <w:tcPr>
        <w:shd w:val="clear" w:color="D5E5F4" w:themeColor="accent1" w:themeTint="40" w:fill="D5E5F4" w:themeFill="accent1" w:themeFillTint="40"/>
      </w:tcPr>
    </w:tblStylePr>
    <w:tblStylePr w:type="band2Horz">
      <w:rPr>
        <w:rFonts w:ascii="Arial" w:hAnsi="Arial"/>
        <w:color w:val="245B8C" w:themeColor="accent1" w:themeShade="94"/>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5a8bbb2">
    <w:name w:val="List Table 6 Colorful - Accent 265a8bbb2"/>
    <w:basedOn w:val="61463ef8"/>
    <w:qFormat/>
    <w:uiPriority w:val="99"/>
    <w:pPr>
      <w:spacing w:after="0" w:line="240" w:lineRule="auto"/>
    </w:pPr>
    <w:tblPr>
      <w:tblBorders>
        <w:top w:val="single" w:color="F4B285" w:themeColor="accent2" w:themeTint="97" w:sz="4" w:space="0"/>
        <w:bottom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4" w:space="0"/>
        </w:tcBorders>
      </w:tcPr>
    </w:tblStylePr>
    <w:tblStylePr w:type="lastRow">
      <w:rPr>
        <w:b/>
        <w:color w:val="F4B285" w:themeColor="accent2" w:themeTint="96"/>
        <w14:textFill>
          <w14:solidFill>
            <w14:schemeClr w14:val="accent2">
              <w14:lumMod w14:val="59000"/>
              <w14:lumOff w14:val="41000"/>
            </w14:schemeClr>
          </w14:solidFill>
        </w14:textFill>
      </w:rPr>
      <w:tcPr>
        <w:tcBorders>
          <w:top w:val="single" w:color="F4B285" w:themeColor="accent2" w:themeTint="97" w:sz="4" w:space="0"/>
        </w:tcBorders>
      </w:tc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ADECB" w:themeColor="accent2" w:themeTint="40" w:fill="FADECB" w:themeFill="accent2" w:themeFillTint="40"/>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themeColor="accent2" w:themeTint="40" w:fill="FADECB" w:themeFill="accent2" w:themeFillTint="40"/>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2424087b">
    <w:name w:val="List Table 6 Colorful - Accent 32424087b"/>
    <w:basedOn w:val="61463ef8"/>
    <w:qFormat/>
    <w:uiPriority w:val="99"/>
    <w:pPr>
      <w:spacing w:after="0" w:line="240" w:lineRule="auto"/>
    </w:pPr>
    <w:tblPr>
      <w:tblBorders>
        <w:top w:val="single" w:color="C9C9C9" w:themeColor="accent3" w:themeTint="98" w:sz="4" w:space="0"/>
        <w:bottom w:val="single" w:color="C9C9C9" w:themeColor="accent3" w:themeTint="98" w:sz="4" w:space="0"/>
      </w:tblBorders>
    </w:tblPr>
    <w:tblStylePr w:type="firstRow">
      <w:rPr>
        <w:b/>
        <w:color w:val="C9C9C9" w:themeColor="accent3" w:themeTint="99"/>
        <w14:textFill>
          <w14:solidFill>
            <w14:schemeClr w14:val="accent3">
              <w14:lumMod w14:val="60000"/>
              <w14:lumOff w14:val="40000"/>
            </w14:schemeClr>
          </w14:solidFill>
        </w14:textFill>
      </w:rPr>
      <w:tcPr>
        <w:tcBorders>
          <w:bottom w:val="single" w:color="C9C9C9" w:themeColor="accent3" w:themeTint="98" w:sz="4" w:space="0"/>
        </w:tcBorders>
      </w:tcPr>
    </w:tblStylePr>
    <w:tblStylePr w:type="lastRow">
      <w:rPr>
        <w:b/>
        <w:color w:val="C9C9C9" w:themeColor="accent3" w:themeTint="99"/>
        <w14:textFill>
          <w14:solidFill>
            <w14:schemeClr w14:val="accent3">
              <w14:lumMod w14:val="60000"/>
              <w14:lumOff w14:val="40000"/>
            </w14:schemeClr>
          </w14:solidFill>
        </w14:textFill>
      </w:rPr>
      <w:tcPr>
        <w:tcBorders>
          <w:top w:val="single" w:color="C9C9C9" w:themeColor="accent3" w:themeTint="98" w:sz="4" w:space="0"/>
        </w:tcBorders>
      </w:tcPr>
    </w:tblStylePr>
    <w:tblStylePr w:type="firstCol">
      <w:rPr>
        <w:b/>
        <w:color w:val="C9C9C9" w:themeColor="accent3" w:themeTint="99"/>
        <w14:textFill>
          <w14:solidFill>
            <w14:schemeClr w14:val="accent3">
              <w14:lumMod w14:val="60000"/>
              <w14:lumOff w14:val="40000"/>
            </w14:schemeClr>
          </w14:solidFill>
        </w14:textFill>
      </w:rPr>
    </w:tblStylePr>
    <w:tblStylePr w:type="lastCol">
      <w:rPr>
        <w:b/>
        <w:color w:val="C9C9C9" w:themeColor="accent3" w:themeTint="99"/>
        <w14:textFill>
          <w14:solidFill>
            <w14:schemeClr w14:val="accent3">
              <w14:lumMod w14:val="60000"/>
              <w14:lumOff w14:val="40000"/>
            </w14:schemeClr>
          </w14:solidFill>
        </w14:textFill>
      </w:rPr>
    </w:tblStylePr>
    <w:tblStylePr w:type="band1Vert">
      <w:tcPr>
        <w:shd w:val="clear" w:color="E8E8E8" w:themeColor="accent3" w:themeTint="40" w:fill="E8E8E8" w:themeFill="accent3" w:themeFillTint="40"/>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themeColor="accent3" w:themeTint="40" w:fill="E8E8E8" w:themeFill="accent3" w:themeFillTint="40"/>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9c7fd00">
    <w:name w:val="List Table 6 Colorful - Accent 449c7fd00"/>
    <w:basedOn w:val="61463ef8"/>
    <w:qFormat/>
    <w:uiPriority w:val="99"/>
    <w:pPr>
      <w:spacing w:after="0" w:line="240" w:lineRule="auto"/>
    </w:pPr>
    <w:tblPr>
      <w:tblBorders>
        <w:top w:val="single" w:color="FFD864" w:themeColor="accent4" w:themeTint="9A" w:sz="4" w:space="0"/>
        <w:bottom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4" w:space="0"/>
        </w:tcBorders>
      </w:tcPr>
    </w:tblStylePr>
    <w:tblStylePr w:type="lastRow">
      <w:rPr>
        <w:b/>
        <w:color w:val="FFD966" w:themeColor="accent4" w:themeTint="99"/>
        <w14:textFill>
          <w14:solidFill>
            <w14:schemeClr w14:val="accent4">
              <w14:lumMod w14:val="60000"/>
              <w14:lumOff w14:val="40000"/>
            </w14:schemeClr>
          </w14:solidFill>
        </w14:textFill>
      </w:rPr>
      <w:tcPr>
        <w:tcBorders>
          <w:top w:val="single" w:color="FFD864" w:themeColor="accent4" w:themeTint="9A" w:sz="4" w:space="0"/>
        </w:tcBorders>
      </w:tc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FEFBE" w:themeColor="accent4" w:themeTint="40" w:fill="FFEFBE" w:themeFill="accent4" w:themeFillTint="40"/>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themeColor="accent4" w:themeTint="40" w:fill="FFEFBE" w:themeFill="accent4" w:themeFillTint="40"/>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a11e9e38">
    <w:name w:val="List Table 6 Colorful - Accent 5a11e9e38"/>
    <w:basedOn w:val="61463ef8"/>
    <w:qFormat/>
    <w:uiPriority w:val="99"/>
    <w:pPr>
      <w:spacing w:after="0" w:line="240" w:lineRule="auto"/>
    </w:pPr>
    <w:tblPr>
      <w:tblBorders>
        <w:top w:val="single" w:color="8EA9DB" w:themeColor="accent5" w:themeTint="9A" w:sz="4" w:space="0"/>
        <w:bottom w:val="single" w:color="8EA9DB" w:themeColor="accent5" w:themeTint="9A" w:sz="4" w:space="0"/>
      </w:tblBorders>
    </w:tblPr>
    <w:tblStylePr w:type="firstRow">
      <w:rPr>
        <w:b/>
        <w:color w:val="8FAADC" w:themeColor="accent5" w:themeTint="99"/>
        <w14:textFill>
          <w14:solidFill>
            <w14:schemeClr w14:val="accent5">
              <w14:lumMod w14:val="60000"/>
              <w14:lumOff w14:val="40000"/>
            </w14:schemeClr>
          </w14:solidFill>
        </w14:textFill>
      </w:rPr>
      <w:tcPr>
        <w:tcBorders>
          <w:bottom w:val="single" w:color="8EA9DB" w:themeColor="accent5" w:themeTint="9A" w:sz="4" w:space="0"/>
        </w:tcBorders>
      </w:tcPr>
    </w:tblStylePr>
    <w:tblStylePr w:type="lastRow">
      <w:rPr>
        <w:b/>
        <w:color w:val="8FAADC" w:themeColor="accent5" w:themeTint="99"/>
        <w14:textFill>
          <w14:solidFill>
            <w14:schemeClr w14:val="accent5">
              <w14:lumMod w14:val="60000"/>
              <w14:lumOff w14:val="40000"/>
            </w14:schemeClr>
          </w14:solidFill>
        </w14:textFill>
      </w:rPr>
      <w:tcPr>
        <w:tcBorders>
          <w:top w:val="single" w:color="8EA9DB" w:themeColor="accent5" w:themeTint="9A" w:sz="4" w:space="0"/>
        </w:tcBorders>
      </w:tcPr>
    </w:tblStylePr>
    <w:tblStylePr w:type="firstCol">
      <w:rPr>
        <w:b/>
        <w:color w:val="8FAADC" w:themeColor="accent5" w:themeTint="99"/>
        <w14:textFill>
          <w14:solidFill>
            <w14:schemeClr w14:val="accent5">
              <w14:lumMod w14:val="60000"/>
              <w14:lumOff w14:val="40000"/>
            </w14:schemeClr>
          </w14:solidFill>
        </w14:textFill>
      </w:rPr>
    </w:tblStylePr>
    <w:tblStylePr w:type="lastCol">
      <w:rPr>
        <w:b/>
        <w:color w:val="8FAADC" w:themeColor="accent5" w:themeTint="99"/>
        <w14:textFill>
          <w14:solidFill>
            <w14:schemeClr w14:val="accent5">
              <w14:lumMod w14:val="60000"/>
              <w14:lumOff w14:val="40000"/>
            </w14:schemeClr>
          </w14:solidFill>
        </w14:textFill>
      </w:rPr>
    </w:tblStylePr>
    <w:tblStylePr w:type="band1Vert">
      <w:tcPr>
        <w:shd w:val="clear" w:color="D0DBF0" w:themeColor="accent5" w:themeTint="40" w:fill="D0DBF0" w:themeFill="accent5" w:themeFillTint="4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themeColor="accent5" w:themeTint="40" w:fill="D0DBF0" w:themeFill="accent5" w:themeFillTint="4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b23b22cb">
    <w:name w:val="List Table 6 Colorful - Accent 6b23b22cb"/>
    <w:basedOn w:val="61463ef8"/>
    <w:qFormat/>
    <w:uiPriority w:val="99"/>
    <w:pPr>
      <w:spacing w:after="0" w:line="240" w:lineRule="auto"/>
    </w:pPr>
    <w:tblPr>
      <w:tblBorders>
        <w:top w:val="single" w:color="A9D08E" w:themeColor="accent6" w:themeTint="98" w:sz="4" w:space="0"/>
        <w:bottom w:val="single" w:color="A9D08E" w:themeColor="accent6" w:themeTint="98" w:sz="4" w:space="0"/>
      </w:tblBorders>
    </w:tblPr>
    <w:tblStylePr w:type="firstRow">
      <w:rPr>
        <w:b/>
        <w:color w:val="A9D18E" w:themeColor="accent6" w:themeTint="99"/>
        <w14:textFill>
          <w14:solidFill>
            <w14:schemeClr w14:val="accent6">
              <w14:lumMod w14:val="60000"/>
              <w14:lumOff w14:val="40000"/>
            </w14:schemeClr>
          </w14:solidFill>
        </w14:textFill>
      </w:rPr>
      <w:tcPr>
        <w:tcBorders>
          <w:bottom w:val="single" w:color="A9D08E" w:themeColor="accent6" w:themeTint="98" w:sz="4" w:space="0"/>
        </w:tcBorders>
      </w:tcPr>
    </w:tblStylePr>
    <w:tblStylePr w:type="lastRow">
      <w:rPr>
        <w:b/>
        <w:color w:val="A9D18E" w:themeColor="accent6" w:themeTint="99"/>
        <w14:textFill>
          <w14:solidFill>
            <w14:schemeClr w14:val="accent6">
              <w14:lumMod w14:val="60000"/>
              <w14:lumOff w14:val="40000"/>
            </w14:schemeClr>
          </w14:solidFill>
        </w14:textFill>
      </w:rPr>
      <w:tcPr>
        <w:tcBorders>
          <w:top w:val="single" w:color="A9D08E" w:themeColor="accent6" w:themeTint="98" w:sz="4" w:space="0"/>
        </w:tcBorders>
      </w:tcPr>
    </w:tblStylePr>
    <w:tblStylePr w:type="firstCol">
      <w:rPr>
        <w:b/>
        <w:color w:val="A9D18E" w:themeColor="accent6" w:themeTint="99"/>
        <w14:textFill>
          <w14:solidFill>
            <w14:schemeClr w14:val="accent6">
              <w14:lumMod w14:val="60000"/>
              <w14:lumOff w14:val="40000"/>
            </w14:schemeClr>
          </w14:solidFill>
        </w14:textFill>
      </w:rPr>
    </w:tblStylePr>
    <w:tblStylePr w:type="lastCol">
      <w:rPr>
        <w:b/>
        <w:color w:val="A9D18E" w:themeColor="accent6" w:themeTint="99"/>
        <w14:textFill>
          <w14:solidFill>
            <w14:schemeClr w14:val="accent6">
              <w14:lumMod w14:val="60000"/>
              <w14:lumOff w14:val="40000"/>
            </w14:schemeClr>
          </w14:solidFill>
        </w14:textFill>
      </w:rPr>
    </w:tblStylePr>
    <w:tblStylePr w:type="band1Vert">
      <w:tcPr>
        <w:shd w:val="clear" w:color="DAEBCF" w:themeColor="accent6" w:themeTint="40" w:fill="DAEBCF" w:themeFill="accent6" w:themeFillTint="40"/>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themeColor="accent6" w:themeTint="40" w:fill="DAEBCF" w:themeFill="accent6" w:themeFillTint="40"/>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b0bb3b25">
    <w:name w:val="List Table 7 Colorfulb0bb3b25"/>
    <w:basedOn w:val="61463ef8"/>
    <w:qFormat/>
    <w:uiPriority w:val="99"/>
    <w:pPr>
      <w:spacing w:after="0" w:line="240" w:lineRule="auto"/>
    </w:pPr>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themeColor="text1" w:themeTint="40" w:fill="BEBEBE" w:themeFill="text1" w:themeFillTint="40"/>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themeColor="text1" w:themeTint="40" w:fill="BEBEBE" w:themeFill="text1" w:themeFillTint="40"/>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782166a">
    <w:name w:val="List Table 7 Colorful - Accent 16782166a"/>
    <w:basedOn w:val="61463ef8"/>
    <w:qFormat/>
    <w:uiPriority w:val="99"/>
    <w:pPr>
      <w:spacing w:after="0" w:line="240" w:lineRule="auto"/>
    </w:pPr>
    <w:tblPr>
      <w:tblBorders>
        <w:right w:val="single" w:color="5B9BD5" w:themeColor="accent1" w:sz="4" w:space="0"/>
      </w:tblBorders>
    </w:tblPr>
    <w:tblStylePr w:type="firstRow">
      <w:rPr>
        <w:rFonts w:ascii="Arial" w:hAnsi="Arial"/>
        <w:i/>
        <w:color w:val="245B8C" w:themeColor="accent1" w:themeShade="94"/>
        <w:sz w:val="22"/>
      </w:rPr>
      <w:tcPr>
        <w:tcBorders>
          <w:top w:val="nil"/>
          <w:left w:val="nil"/>
          <w:bottom w:val="single" w:color="5B9BD5" w:themeColor="accent1" w:sz="4" w:space="0"/>
          <w:right w:val="nil"/>
        </w:tcBorders>
        <w:shd w:val="clear" w:color="FFFFFF" w:themeColor="light1" w:fill="FFFFFF" w:themeFill="light1"/>
      </w:tcPr>
    </w:tblStylePr>
    <w:tblStylePr w:type="lastRow">
      <w:rPr>
        <w:rFonts w:ascii="Arial" w:hAnsi="Arial"/>
        <w:i/>
        <w:color w:val="245B8C" w:themeColor="accent1" w:themeShade="94"/>
        <w:sz w:val="22"/>
      </w:rPr>
      <w:tcPr>
        <w:tcBorders>
          <w:top w:val="single" w:color="5B9BD5" w:themeColor="accent1" w:sz="4" w:space="0"/>
          <w:left w:val="nil"/>
          <w:bottom w:val="nil"/>
          <w:right w:val="nil"/>
        </w:tcBorders>
        <w:shd w:val="clear" w:color="FFFFFF" w:themeColor="light1" w:fill="FFFFFF" w:themeFill="light1"/>
      </w:tcPr>
    </w:tblStylePr>
    <w:tblStylePr w:type="firstCol">
      <w:pPr>
        <w:jc w:val="right"/>
      </w:pPr>
      <w:rPr>
        <w:rFonts w:ascii="Arial" w:hAnsi="Arial"/>
        <w:i/>
        <w:color w:val="245B8C" w:themeColor="accent1" w:themeShade="94"/>
        <w:sz w:val="22"/>
      </w:rPr>
      <w:tcPr>
        <w:tcBorders>
          <w:top w:val="nil"/>
          <w:left w:val="nil"/>
          <w:bottom w:val="nil"/>
          <w:right w:val="single" w:color="5B9BD5" w:themeColor="accent1" w:sz="4" w:space="0"/>
        </w:tcBorders>
        <w:shd w:val="clear" w:color="FFFFFF" w:fill="auto"/>
      </w:tcPr>
    </w:tblStylePr>
    <w:tblStylePr w:type="lastCol">
      <w:rPr>
        <w:rFonts w:ascii="Arial" w:hAnsi="Arial"/>
        <w:i/>
        <w:color w:val="245B8C" w:themeColor="accent1" w:themeShade="94"/>
        <w:sz w:val="22"/>
      </w:rPr>
      <w:tcPr>
        <w:tcBorders>
          <w:top w:val="nil"/>
          <w:left w:val="single" w:color="5B9BD5" w:themeColor="accent1" w:sz="4" w:space="0"/>
          <w:bottom w:val="nil"/>
          <w:right w:val="nil"/>
        </w:tcBorders>
        <w:shd w:val="clear" w:color="FFFFFF" w:fill="auto"/>
      </w:tcPr>
    </w:tblStylePr>
    <w:tblStylePr w:type="band1Vert">
      <w:tcPr>
        <w:shd w:val="clear" w:color="D5E5F4" w:themeColor="accent1" w:themeTint="40" w:fill="D5E5F4" w:themeFill="accent1" w:themeFillTint="40"/>
      </w:tcPr>
    </w:tblStylePr>
    <w:tblStylePr w:type="band2Vert"/>
    <w:tblStylePr w:type="band1Horz">
      <w:rPr>
        <w:rFonts w:ascii="Arial" w:hAnsi="Arial"/>
        <w:color w:val="245B8C" w:themeColor="accent1" w:themeShade="94"/>
        <w:sz w:val="22"/>
      </w:rPr>
      <w:tcPr>
        <w:shd w:val="clear" w:color="D5E5F4" w:themeColor="accent1" w:themeTint="40" w:fill="D5E5F4" w:themeFill="accent1" w:themeFillTint="40"/>
      </w:tcPr>
    </w:tblStylePr>
    <w:tblStylePr w:type="band2Horz">
      <w:rPr>
        <w:rFonts w:ascii="Arial" w:hAnsi="Arial"/>
        <w:color w:val="245B8C" w:themeColor="accent1" w:themeShade="94"/>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e3b6ae8">
    <w:name w:val="List Table 7 Colorful - Accent 25e3b6ae8"/>
    <w:basedOn w:val="61463ef8"/>
    <w:qFormat/>
    <w:uiPriority w:val="99"/>
    <w:pPr>
      <w:spacing w:after="0" w:line="240" w:lineRule="auto"/>
    </w:pPr>
    <w:tblPr>
      <w:tblBorders>
        <w:right w:val="single" w:color="F4B285" w:themeColor="accent2" w:themeTint="97" w:sz="4" w:space="0"/>
      </w:tblBorders>
    </w:tblPr>
    <w:tblStylePr w:type="firstRow">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themeColor="light1" w:fill="FFFFFF" w:themeFill="light1"/>
      </w:tcPr>
    </w:tblStylePr>
    <w:tblStylePr w:type="lastRow">
      <w:rPr>
        <w:rFonts w:ascii="Arial" w:hAnsi="Arial"/>
        <w:i/>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ADECB" w:themeColor="accent2" w:themeTint="40" w:fill="FADECB" w:themeFill="accent2" w:themeFillTint="40"/>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themeColor="accent2" w:themeTint="40" w:fill="FADECB" w:themeFill="accent2" w:themeFillTint="40"/>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dbc7995f">
    <w:name w:val="List Table 7 Colorful - Accent 3dbc7995f"/>
    <w:basedOn w:val="61463ef8"/>
    <w:qFormat/>
    <w:uiPriority w:val="99"/>
    <w:pPr>
      <w:spacing w:after="0" w:line="240" w:lineRule="auto"/>
    </w:pPr>
    <w:tblPr>
      <w:tblBorders>
        <w:right w:val="single" w:color="C9C9C9" w:themeColor="accent3" w:themeTint="98" w:sz="4" w:space="0"/>
      </w:tblBorders>
    </w:tblPr>
    <w:tblStylePr w:type="firstRow">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single" w:color="C9C9C9" w:themeColor="accent3" w:themeTint="98" w:sz="4" w:space="0"/>
          <w:right w:val="nil"/>
        </w:tcBorders>
        <w:shd w:val="clear" w:color="FFFFFF" w:themeColor="light1" w:fill="FFFFFF" w:themeFill="light1"/>
      </w:tcPr>
    </w:tblStylePr>
    <w:tblStylePr w:type="lastRow">
      <w:rPr>
        <w:rFonts w:ascii="Arial" w:hAnsi="Arial"/>
        <w:i/>
        <w:color w:val="C9C9C9" w:themeColor="accent3" w:themeTint="99"/>
        <w:sz w:val="22"/>
        <w14:textFill>
          <w14:solidFill>
            <w14:schemeClr w14:val="accent3">
              <w14:lumMod w14:val="60000"/>
              <w14:lumOff w14:val="40000"/>
            </w14:schemeClr>
          </w14:solidFill>
        </w14:textFill>
      </w:rPr>
      <w:tcPr>
        <w:tcBorders>
          <w:top w:val="single" w:color="C9C9C9" w:themeColor="accent3" w:themeTint="98" w:sz="4" w:space="0"/>
          <w:left w:val="nil"/>
          <w:bottom w:val="nil"/>
          <w:right w:val="nil"/>
        </w:tcBorders>
        <w:shd w:val="clear" w:color="FFFFFF" w:themeColor="light1" w:fill="FFFFFF" w:themeFill="light1"/>
      </w:tcPr>
    </w:tblStylePr>
    <w:tblStylePr w:type="firstCol">
      <w:pPr>
        <w:jc w:val="right"/>
      </w:pPr>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nil"/>
          <w:right w:val="single" w:color="C9C9C9" w:themeColor="accent3" w:themeTint="98" w:sz="4" w:space="0"/>
        </w:tcBorders>
        <w:shd w:val="clear" w:color="FFFFFF" w:fill="auto"/>
      </w:tcPr>
    </w:tblStylePr>
    <w:tblStylePr w:type="lastCol">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single" w:color="C9C9C9" w:themeColor="accent3" w:themeTint="98" w:sz="4" w:space="0"/>
          <w:bottom w:val="nil"/>
          <w:right w:val="nil"/>
        </w:tcBorders>
        <w:shd w:val="clear" w:color="FFFFFF" w:fill="auto"/>
      </w:tcPr>
    </w:tblStylePr>
    <w:tblStylePr w:type="band1Vert">
      <w:tcPr>
        <w:shd w:val="clear" w:color="E8E8E8" w:themeColor="accent3" w:themeTint="40" w:fill="E8E8E8" w:themeFill="accent3" w:themeFillTint="40"/>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themeColor="accent3" w:themeTint="40" w:fill="E8E8E8" w:themeFill="accent3" w:themeFillTint="40"/>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b8ec2e2">
    <w:name w:val="List Table 7 Colorful - Accent 43b8ec2e2"/>
    <w:basedOn w:val="61463ef8"/>
    <w:qFormat/>
    <w:uiPriority w:val="99"/>
    <w:pPr>
      <w:spacing w:after="0" w:line="240" w:lineRule="auto"/>
    </w:pPr>
    <w:tblPr>
      <w:tblBorders>
        <w:right w:val="single" w:color="FFD864" w:themeColor="accent4" w:themeTint="9A" w:sz="4" w:space="0"/>
      </w:tblBorders>
    </w:tblPr>
    <w:tblStylePr w:type="firstRow">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themeColor="light1" w:fill="FFFFFF" w:themeFill="light1"/>
      </w:tcPr>
    </w:tblStylePr>
    <w:tblStylePr w:type="lastRow">
      <w:rPr>
        <w:rFonts w:ascii="Arial" w:hAnsi="Arial"/>
        <w:i/>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FEFBE" w:themeColor="accent4" w:themeTint="40" w:fill="FFEFBE" w:themeFill="accent4" w:themeFillTint="40"/>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themeColor="accent4" w:themeTint="40" w:fill="FFEFBE" w:themeFill="accent4" w:themeFillTint="40"/>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70195c0">
    <w:name w:val="List Table 7 Colorful - Accent 5170195c0"/>
    <w:basedOn w:val="61463ef8"/>
    <w:qFormat/>
    <w:uiPriority w:val="99"/>
    <w:pPr>
      <w:spacing w:after="0" w:line="240" w:lineRule="auto"/>
    </w:pPr>
    <w:tblPr>
      <w:tblBorders>
        <w:right w:val="single" w:color="8EA9DB" w:themeColor="accent5" w:themeTint="9A" w:sz="4" w:space="0"/>
      </w:tblBorders>
    </w:tblPr>
    <w:tblStylePr w:type="firstRow">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single" w:color="8EA9DB" w:themeColor="accent5" w:themeTint="9A" w:sz="4" w:space="0"/>
          <w:right w:val="nil"/>
        </w:tcBorders>
        <w:shd w:val="clear" w:color="FFFFFF" w:themeColor="light1" w:fill="FFFFFF" w:themeFill="light1"/>
      </w:tcPr>
    </w:tblStylePr>
    <w:tblStylePr w:type="lastRow">
      <w:rPr>
        <w:rFonts w:ascii="Arial" w:hAnsi="Arial"/>
        <w:i/>
        <w:color w:val="8FAADC" w:themeColor="accent5" w:themeTint="99"/>
        <w:sz w:val="22"/>
        <w14:textFill>
          <w14:solidFill>
            <w14:schemeClr w14:val="accent5">
              <w14:lumMod w14:val="60000"/>
              <w14:lumOff w14:val="40000"/>
            </w14:schemeClr>
          </w14:solidFill>
        </w14:textFill>
      </w:rPr>
      <w:tcPr>
        <w:tcBorders>
          <w:top w:val="single" w:color="8EA9DB" w:themeColor="accent5" w:themeTint="9A" w:sz="4" w:space="0"/>
          <w:left w:val="nil"/>
          <w:bottom w:val="nil"/>
          <w:right w:val="nil"/>
        </w:tcBorders>
        <w:shd w:val="clear" w:color="FFFFFF" w:themeColor="light1" w:fill="FFFFFF" w:themeFill="light1"/>
      </w:tcPr>
    </w:tblStylePr>
    <w:tblStylePr w:type="firstCol">
      <w:pPr>
        <w:jc w:val="right"/>
      </w:pPr>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nil"/>
          <w:right w:val="single" w:color="8EA9DB" w:themeColor="accent5" w:themeTint="9A" w:sz="4" w:space="0"/>
        </w:tcBorders>
        <w:shd w:val="clear" w:color="FFFFFF" w:fill="auto"/>
      </w:tcPr>
    </w:tblStylePr>
    <w:tblStylePr w:type="lastCol">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single" w:color="8EA9DB" w:themeColor="accent5" w:themeTint="9A" w:sz="4" w:space="0"/>
          <w:bottom w:val="nil"/>
          <w:right w:val="nil"/>
        </w:tcBorders>
        <w:shd w:val="clear" w:color="FFFFFF" w:fill="auto"/>
      </w:tcPr>
    </w:tblStylePr>
    <w:tblStylePr w:type="band1Vert">
      <w:tcPr>
        <w:shd w:val="clear" w:color="D0DBF0" w:themeColor="accent5" w:themeTint="40" w:fill="D0DBF0" w:themeFill="accent5" w:themeFillTint="4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themeColor="accent5" w:themeTint="40" w:fill="D0DBF0" w:themeFill="accent5" w:themeFillTint="4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acc1b36a">
    <w:name w:val="List Table 7 Colorful - Accent 6acc1b36a"/>
    <w:basedOn w:val="61463ef8"/>
    <w:qFormat/>
    <w:uiPriority w:val="99"/>
    <w:pPr>
      <w:spacing w:after="0" w:line="240" w:lineRule="auto"/>
    </w:pPr>
    <w:tblPr>
      <w:tblBorders>
        <w:right w:val="single" w:color="A9D08E" w:themeColor="accent6" w:themeTint="98" w:sz="4" w:space="0"/>
      </w:tblBorders>
    </w:tblPr>
    <w:tblStylePr w:type="firstRow">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single" w:color="A9D08E" w:themeColor="accent6" w:themeTint="98" w:sz="4" w:space="0"/>
          <w:right w:val="nil"/>
        </w:tcBorders>
        <w:shd w:val="clear" w:color="FFFFFF" w:themeColor="light1" w:fill="FFFFFF" w:themeFill="light1"/>
      </w:tcPr>
    </w:tblStylePr>
    <w:tblStylePr w:type="lastRow">
      <w:rPr>
        <w:rFonts w:ascii="Arial" w:hAnsi="Arial"/>
        <w:i/>
        <w:color w:val="A9D18E" w:themeColor="accent6" w:themeTint="99"/>
        <w:sz w:val="22"/>
        <w14:textFill>
          <w14:solidFill>
            <w14:schemeClr w14:val="accent6">
              <w14:lumMod w14:val="60000"/>
              <w14:lumOff w14:val="40000"/>
            </w14:schemeClr>
          </w14:solidFill>
        </w14:textFill>
      </w:rPr>
      <w:tcPr>
        <w:tcBorders>
          <w:top w:val="single" w:color="A9D08E" w:themeColor="accent6" w:themeTint="98" w:sz="4" w:space="0"/>
          <w:left w:val="nil"/>
          <w:bottom w:val="nil"/>
          <w:right w:val="nil"/>
        </w:tcBorders>
        <w:shd w:val="clear" w:color="FFFFFF" w:themeColor="light1" w:fill="FFFFFF" w:themeFill="light1"/>
      </w:tcPr>
    </w:tblStylePr>
    <w:tblStylePr w:type="firstCol">
      <w:pPr>
        <w:jc w:val="right"/>
      </w:pPr>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nil"/>
          <w:right w:val="single" w:color="A9D08E" w:themeColor="accent6" w:themeTint="98" w:sz="4" w:space="0"/>
        </w:tcBorders>
        <w:shd w:val="clear" w:color="FFFFFF" w:fill="auto"/>
      </w:tcPr>
    </w:tblStylePr>
    <w:tblStylePr w:type="lastCol">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single" w:color="A9D08E" w:themeColor="accent6" w:themeTint="98" w:sz="4" w:space="0"/>
          <w:bottom w:val="nil"/>
          <w:right w:val="nil"/>
        </w:tcBorders>
        <w:shd w:val="clear" w:color="FFFFFF" w:fill="auto"/>
      </w:tcPr>
    </w:tblStylePr>
    <w:tblStylePr w:type="band1Vert">
      <w:tcPr>
        <w:shd w:val="clear" w:color="DAEBCF" w:themeColor="accent6" w:themeTint="40" w:fill="DAEBCF" w:themeFill="accent6" w:themeFillTint="40"/>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themeColor="accent6" w:themeTint="40" w:fill="DAEBCF" w:themeFill="accent6" w:themeFillTint="40"/>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2842db2b">
    <w:name w:val="Lined - Accent2842db2b"/>
    <w:basedOn w:val="61463ef8"/>
    <w:qFormat/>
    <w:uiPriority w:val="99"/>
    <w:pPr>
      <w:spacing w:after="0" w:line="240" w:lineRule="auto"/>
    </w:pPr>
    <w:rPr>
      <w:color w:val="404040"/>
    </w:r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2a0369c">
    <w:name w:val="Lined - Accent 162a0369c"/>
    <w:basedOn w:val="61463ef8"/>
    <w:qFormat/>
    <w:uiPriority w:val="99"/>
    <w:pPr>
      <w:spacing w:after="0" w:line="240" w:lineRule="auto"/>
    </w:pPr>
    <w:rPr>
      <w:color w:val="404040"/>
    </w:rPr>
    <w:tblStylePr w:type="firstRow">
      <w:rPr>
        <w:rFonts w:ascii="Arial" w:hAnsi="Arial"/>
        <w:color w:val="F2F2F2"/>
        <w:sz w:val="22"/>
      </w:rPr>
      <w:tcPr>
        <w:shd w:val="clear" w:color="68A3D8" w:themeColor="accent1" w:themeTint="EA" w:fill="68A3D8" w:themeFill="accent1" w:themeFillTint="EA"/>
      </w:tcPr>
    </w:tblStylePr>
    <w:tblStylePr w:type="lastRow">
      <w:rPr>
        <w:rFonts w:ascii="Arial" w:hAnsi="Arial"/>
        <w:color w:val="F2F2F2"/>
        <w:sz w:val="22"/>
      </w:rPr>
      <w:tcPr>
        <w:shd w:val="clear" w:color="68A3D8" w:themeColor="accent1" w:themeTint="EA" w:fill="68A3D8" w:themeFill="accent1" w:themeFillTint="EA"/>
      </w:tcPr>
    </w:tblStylePr>
    <w:tblStylePr w:type="firstCol">
      <w:rPr>
        <w:rFonts w:ascii="Arial" w:hAnsi="Arial"/>
        <w:color w:val="F2F2F2"/>
        <w:sz w:val="22"/>
      </w:rPr>
      <w:tcPr>
        <w:shd w:val="clear" w:color="68A3D8" w:themeColor="accent1" w:themeTint="EA" w:fill="68A3D8" w:themeFill="accent1" w:themeFillTint="EA"/>
      </w:tcPr>
    </w:tblStylePr>
    <w:tblStylePr w:type="lastCol">
      <w:rPr>
        <w:rFonts w:ascii="Arial" w:hAnsi="Arial"/>
        <w:color w:val="F2F2F2"/>
        <w:sz w:val="22"/>
      </w:rPr>
      <w:tcPr>
        <w:shd w:val="clear" w:color="68A3D8" w:themeColor="accent1" w:themeTint="EA" w:fill="68A3D8"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30c72d4">
    <w:name w:val="Lined - Accent 2830c72d4"/>
    <w:basedOn w:val="61463ef8"/>
    <w:qFormat/>
    <w:uiPriority w:val="99"/>
    <w:pPr>
      <w:spacing w:after="0" w:line="240" w:lineRule="auto"/>
    </w:pPr>
    <w:rPr>
      <w:color w:val="404040"/>
    </w:rPr>
    <w:tblStylePr w:type="firstRow">
      <w:rPr>
        <w:rFonts w:ascii="Arial" w:hAnsi="Arial"/>
        <w:color w:val="F2F2F2"/>
        <w:sz w:val="22"/>
      </w:rPr>
      <w:tcPr>
        <w:shd w:val="clear" w:color="F4B285" w:themeColor="accent2" w:themeTint="97" w:fill="F4B285" w:themeFill="accent2" w:themeFillTint="97"/>
      </w:tcPr>
    </w:tblStylePr>
    <w:tblStylePr w:type="lastRow">
      <w:rPr>
        <w:rFonts w:ascii="Arial" w:hAnsi="Arial"/>
        <w:color w:val="F2F2F2"/>
        <w:sz w:val="22"/>
      </w:rPr>
      <w:tcPr>
        <w:shd w:val="clear" w:color="F4B285" w:themeColor="accent2" w:themeTint="97" w:fill="F4B285" w:themeFill="accent2" w:themeFillTint="97"/>
      </w:tcPr>
    </w:tblStylePr>
    <w:tblStylePr w:type="firstCol">
      <w:rPr>
        <w:rFonts w:ascii="Arial" w:hAnsi="Arial"/>
        <w:color w:val="F2F2F2"/>
        <w:sz w:val="22"/>
      </w:rPr>
      <w:tcPr>
        <w:shd w:val="clear" w:color="F4B285" w:themeColor="accent2" w:themeTint="97" w:fill="F4B285" w:themeFill="accent2" w:themeFillTint="97"/>
      </w:tcPr>
    </w:tblStylePr>
    <w:tblStylePr w:type="lastCol">
      <w:rPr>
        <w:rFonts w:ascii="Arial" w:hAnsi="Arial"/>
        <w:color w:val="F2F2F2"/>
        <w:sz w:val="22"/>
      </w:rPr>
      <w:tcPr>
        <w:shd w:val="clear" w:color="F4B285" w:themeColor="accent2" w:themeTint="97" w:fill="F4B28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6b0e487">
    <w:name w:val="Lined - Accent 356b0e487"/>
    <w:basedOn w:val="61463ef8"/>
    <w:qFormat/>
    <w:uiPriority w:val="99"/>
    <w:pPr>
      <w:spacing w:after="0" w:line="240" w:lineRule="auto"/>
    </w:pPr>
    <w:rPr>
      <w:color w:val="404040"/>
    </w:rPr>
    <w:tblStylePr w:type="firstRow">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tblStylePr w:type="firstCol">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c3443123">
    <w:name w:val="Lined - Accent 4c3443123"/>
    <w:basedOn w:val="61463ef8"/>
    <w:qFormat/>
    <w:uiPriority w:val="99"/>
    <w:pPr>
      <w:spacing w:after="0" w:line="240" w:lineRule="auto"/>
    </w:pPr>
    <w:rPr>
      <w:color w:val="404040"/>
    </w:rPr>
    <w:tblStylePr w:type="firstRow">
      <w:rPr>
        <w:rFonts w:ascii="Arial" w:hAnsi="Arial"/>
        <w:color w:val="F2F2F2"/>
        <w:sz w:val="22"/>
      </w:rPr>
      <w:tcPr>
        <w:shd w:val="clear" w:color="FFD864" w:themeColor="accent4" w:themeTint="9A" w:fill="FFD864" w:themeFill="accent4" w:themeFillTint="9A"/>
      </w:tcPr>
    </w:tblStylePr>
    <w:tblStylePr w:type="lastRow">
      <w:rPr>
        <w:rFonts w:ascii="Arial" w:hAnsi="Arial"/>
        <w:color w:val="F2F2F2"/>
        <w:sz w:val="22"/>
      </w:rPr>
      <w:tcPr>
        <w:shd w:val="clear" w:color="FFD864" w:themeColor="accent4" w:themeTint="9A" w:fill="FFD864" w:themeFill="accent4" w:themeFillTint="9A"/>
      </w:tcPr>
    </w:tblStylePr>
    <w:tblStylePr w:type="firstCol">
      <w:rPr>
        <w:rFonts w:ascii="Arial" w:hAnsi="Arial"/>
        <w:color w:val="F2F2F2"/>
        <w:sz w:val="22"/>
      </w:rPr>
      <w:tcPr>
        <w:shd w:val="clear" w:color="FFD864" w:themeColor="accent4" w:themeTint="9A" w:fill="FFD864" w:themeFill="accent4" w:themeFillTint="9A"/>
      </w:tcPr>
    </w:tblStylePr>
    <w:tblStylePr w:type="lastCol">
      <w:rPr>
        <w:rFonts w:ascii="Arial" w:hAnsi="Arial"/>
        <w:color w:val="F2F2F2"/>
        <w:sz w:val="22"/>
      </w:rPr>
      <w:tcPr>
        <w:shd w:val="clear" w:color="FFD864" w:themeColor="accent4" w:themeTint="9A" w:fill="FFD864"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FEF2CA" w:themeColor="accent4" w:themeTint="34" w:fill="FEF2CA"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FEF2CA" w:themeColor="accent4" w:themeTint="34" w:fill="FEF2CA" w:themeFill="accent4"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636febc">
    <w:name w:val="Lined - Accent 54636febc"/>
    <w:basedOn w:val="61463ef8"/>
    <w:qFormat/>
    <w:uiPriority w:val="99"/>
    <w:pPr>
      <w:spacing w:after="0" w:line="240" w:lineRule="auto"/>
    </w:pPr>
    <w:rPr>
      <w:color w:val="404040"/>
    </w:rPr>
    <w:tblStylePr w:type="firstRow">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tblStylePr w:type="firstCol">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cPr>
        <w:shd w:val="clear" w:color="D8E2F2" w:themeColor="accent5" w:themeTint="34" w:fill="D8E2F2"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8E2F2" w:themeColor="accent5" w:themeTint="34" w:fill="D8E2F2" w:themeFill="accent5"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0c01589f">
    <w:name w:val="Lined - Accent 60c01589f"/>
    <w:basedOn w:val="61463ef8"/>
    <w:qFormat/>
    <w:uiPriority w:val="99"/>
    <w:pPr>
      <w:spacing w:after="0" w:line="240" w:lineRule="auto"/>
    </w:pPr>
    <w:rPr>
      <w:color w:val="404040"/>
    </w:rPr>
    <w:tblStylePr w:type="firstRow">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tblStylePr w:type="firstCol">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fa5bbaa">
    <w:name w:val="Bordered &amp; Lined - Accent9fa5bbaa"/>
    <w:basedOn w:val="61463ef8"/>
    <w:qFormat/>
    <w:uiPriority w:val="99"/>
    <w:pPr>
      <w:spacing w:after="0" w:line="240" w:lineRule="auto"/>
    </w:pPr>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e0386b23">
    <w:name w:val="Bordered &amp; Lined - Accent 1e0386b23"/>
    <w:basedOn w:val="61463ef8"/>
    <w:qFormat/>
    <w:uiPriority w:val="99"/>
    <w:pPr>
      <w:spacing w:after="0" w:line="240" w:lineRule="auto"/>
    </w:pPr>
    <w:rPr>
      <w:color w:val="404040"/>
    </w:rPr>
    <w:tblPr>
      <w:tblBorders>
        <w:top w:val="single" w:color="245B8D" w:themeColor="accent1" w:themeShade="95" w:sz="4" w:space="0"/>
        <w:left w:val="single" w:color="245B8D" w:themeColor="accent1" w:themeShade="95" w:sz="4" w:space="0"/>
        <w:bottom w:val="single" w:color="245B8D" w:themeColor="accent1" w:themeShade="95" w:sz="4" w:space="0"/>
        <w:right w:val="single" w:color="245B8D" w:themeColor="accent1" w:themeShade="95" w:sz="4" w:space="0"/>
        <w:insideH w:val="single" w:color="245B8D" w:themeColor="accent1" w:themeShade="95" w:sz="4" w:space="0"/>
        <w:insideV w:val="single" w:color="245B8D" w:themeColor="accent1" w:themeShade="95" w:sz="4" w:space="0"/>
      </w:tblBorders>
    </w:tblPr>
    <w:tblStylePr w:type="firstRow">
      <w:rPr>
        <w:rFonts w:ascii="Arial" w:hAnsi="Arial"/>
        <w:color w:val="F2F2F2"/>
        <w:sz w:val="22"/>
      </w:rPr>
      <w:tcPr>
        <w:shd w:val="clear" w:color="68A3D8" w:themeColor="accent1" w:themeTint="EA" w:fill="68A3D8" w:themeFill="accent1" w:themeFillTint="EA"/>
      </w:tcPr>
    </w:tblStylePr>
    <w:tblStylePr w:type="lastRow">
      <w:rPr>
        <w:rFonts w:ascii="Arial" w:hAnsi="Arial"/>
        <w:color w:val="F2F2F2"/>
        <w:sz w:val="22"/>
      </w:rPr>
      <w:tcPr>
        <w:shd w:val="clear" w:color="68A3D8" w:themeColor="accent1" w:themeTint="EA" w:fill="68A3D8" w:themeFill="accent1" w:themeFillTint="EA"/>
      </w:tcPr>
    </w:tblStylePr>
    <w:tblStylePr w:type="firstCol">
      <w:rPr>
        <w:rFonts w:ascii="Arial" w:hAnsi="Arial"/>
        <w:color w:val="F2F2F2"/>
        <w:sz w:val="22"/>
      </w:rPr>
      <w:tcPr>
        <w:shd w:val="clear" w:color="68A3D8" w:themeColor="accent1" w:themeTint="EA" w:fill="68A3D8" w:themeFill="accent1" w:themeFillTint="EA"/>
      </w:tcPr>
    </w:tblStylePr>
    <w:tblStylePr w:type="lastCol">
      <w:rPr>
        <w:rFonts w:ascii="Arial" w:hAnsi="Arial"/>
        <w:color w:val="F2F2F2"/>
        <w:sz w:val="22"/>
      </w:rPr>
      <w:tcPr>
        <w:shd w:val="clear" w:color="68A3D8" w:themeColor="accent1" w:themeTint="EA" w:fill="68A3D8"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3472a78">
    <w:name w:val="Bordered &amp; Lined - Accent 273472a78"/>
    <w:basedOn w:val="61463ef8"/>
    <w:qFormat/>
    <w:uiPriority w:val="99"/>
    <w:pPr>
      <w:spacing w:after="0" w:line="240" w:lineRule="auto"/>
    </w:pPr>
    <w:rPr>
      <w:color w:val="404040"/>
    </w:rPr>
    <w:tblPr>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firstRow">
      <w:rPr>
        <w:rFonts w:ascii="Arial" w:hAnsi="Arial"/>
        <w:color w:val="F2F2F2"/>
        <w:sz w:val="22"/>
      </w:rPr>
      <w:tcPr>
        <w:shd w:val="clear" w:color="F4B285" w:themeColor="accent2" w:themeTint="97" w:fill="F4B285" w:themeFill="accent2" w:themeFillTint="97"/>
      </w:tcPr>
    </w:tblStylePr>
    <w:tblStylePr w:type="lastRow">
      <w:rPr>
        <w:rFonts w:ascii="Arial" w:hAnsi="Arial"/>
        <w:color w:val="F2F2F2"/>
        <w:sz w:val="22"/>
      </w:rPr>
      <w:tcPr>
        <w:shd w:val="clear" w:color="F4B285" w:themeColor="accent2" w:themeTint="97" w:fill="F4B285" w:themeFill="accent2" w:themeFillTint="97"/>
      </w:tcPr>
    </w:tblStylePr>
    <w:tblStylePr w:type="firstCol">
      <w:rPr>
        <w:rFonts w:ascii="Arial" w:hAnsi="Arial"/>
        <w:color w:val="F2F2F2"/>
        <w:sz w:val="22"/>
      </w:rPr>
      <w:tcPr>
        <w:shd w:val="clear" w:color="F4B285" w:themeColor="accent2" w:themeTint="97" w:fill="F4B285" w:themeFill="accent2" w:themeFillTint="97"/>
      </w:tcPr>
    </w:tblStylePr>
    <w:tblStylePr w:type="lastCol">
      <w:rPr>
        <w:rFonts w:ascii="Arial" w:hAnsi="Arial"/>
        <w:color w:val="F2F2F2"/>
        <w:sz w:val="22"/>
      </w:rPr>
      <w:tcPr>
        <w:shd w:val="clear" w:color="F4B285" w:themeColor="accent2" w:themeTint="97" w:fill="F4B28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622444b">
    <w:name w:val="Bordered &amp; Lined - Accent 31622444b"/>
    <w:basedOn w:val="61463ef8"/>
    <w:qFormat/>
    <w:uiPriority w:val="99"/>
    <w:pPr>
      <w:spacing w:after="0" w:line="240" w:lineRule="auto"/>
    </w:pPr>
    <w:rPr>
      <w:color w:val="404040"/>
    </w:rPr>
    <w:tblPr>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firstRow">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tblStylePr w:type="firstCol">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019e078">
    <w:name w:val="Bordered &amp; Lined - Accent 43019e078"/>
    <w:basedOn w:val="61463ef8"/>
    <w:qFormat/>
    <w:uiPriority w:val="99"/>
    <w:pPr>
      <w:spacing w:after="0" w:line="240" w:lineRule="auto"/>
    </w:pPr>
    <w:rPr>
      <w:color w:val="404040"/>
    </w:rPr>
    <w:tblPr>
      <w:tblBorders>
        <w:top w:val="single" w:color="947000" w:themeColor="accent4" w:themeShade="95" w:sz="4" w:space="0"/>
        <w:left w:val="single" w:color="947000" w:themeColor="accent4" w:themeShade="95" w:sz="4" w:space="0"/>
        <w:bottom w:val="single" w:color="947000" w:themeColor="accent4" w:themeShade="95" w:sz="4" w:space="0"/>
        <w:right w:val="single" w:color="947000" w:themeColor="accent4" w:themeShade="95" w:sz="4" w:space="0"/>
        <w:insideH w:val="single" w:color="947000" w:themeColor="accent4" w:themeShade="95" w:sz="4" w:space="0"/>
        <w:insideV w:val="single" w:color="947000" w:themeColor="accent4" w:themeShade="95" w:sz="4" w:space="0"/>
      </w:tblBorders>
    </w:tblPr>
    <w:tblStylePr w:type="firstRow">
      <w:rPr>
        <w:rFonts w:ascii="Arial" w:hAnsi="Arial"/>
        <w:color w:val="F2F2F2"/>
        <w:sz w:val="22"/>
      </w:rPr>
      <w:tcPr>
        <w:shd w:val="clear" w:color="FFD864" w:themeColor="accent4" w:themeTint="9A" w:fill="FFD864" w:themeFill="accent4" w:themeFillTint="9A"/>
      </w:tcPr>
    </w:tblStylePr>
    <w:tblStylePr w:type="lastRow">
      <w:rPr>
        <w:rFonts w:ascii="Arial" w:hAnsi="Arial"/>
        <w:color w:val="F2F2F2"/>
        <w:sz w:val="22"/>
      </w:rPr>
      <w:tcPr>
        <w:shd w:val="clear" w:color="FFD864" w:themeColor="accent4" w:themeTint="9A" w:fill="FFD864" w:themeFill="accent4" w:themeFillTint="9A"/>
      </w:tcPr>
    </w:tblStylePr>
    <w:tblStylePr w:type="firstCol">
      <w:rPr>
        <w:rFonts w:ascii="Arial" w:hAnsi="Arial"/>
        <w:color w:val="F2F2F2"/>
        <w:sz w:val="22"/>
      </w:rPr>
      <w:tcPr>
        <w:shd w:val="clear" w:color="FFD864" w:themeColor="accent4" w:themeTint="9A" w:fill="FFD864" w:themeFill="accent4" w:themeFillTint="9A"/>
      </w:tcPr>
    </w:tblStylePr>
    <w:tblStylePr w:type="lastCol">
      <w:rPr>
        <w:rFonts w:ascii="Arial" w:hAnsi="Arial"/>
        <w:color w:val="F2F2F2"/>
        <w:sz w:val="22"/>
      </w:rPr>
      <w:tcPr>
        <w:shd w:val="clear" w:color="FFD864" w:themeColor="accent4" w:themeTint="9A" w:fill="FFD864"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FEF2CA" w:themeColor="accent4" w:themeTint="34" w:fill="FEF2CA"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FEF2CA" w:themeColor="accent4" w:themeTint="34" w:fill="FEF2CA" w:themeFill="accent4"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ecb205e">
    <w:name w:val="Bordered &amp; Lined - Accent 59ecb205e"/>
    <w:basedOn w:val="61463ef8"/>
    <w:qFormat/>
    <w:uiPriority w:val="99"/>
    <w:pPr>
      <w:spacing w:after="0" w:line="240" w:lineRule="auto"/>
    </w:pPr>
    <w:rPr>
      <w:color w:val="404040"/>
    </w:rPr>
    <w:tblPr>
      <w:tblBorders>
        <w:top w:val="single" w:color="244175" w:themeColor="accent5" w:themeShade="95" w:sz="4" w:space="0"/>
        <w:left w:val="single" w:color="244175" w:themeColor="accent5" w:themeShade="95" w:sz="4" w:space="0"/>
        <w:bottom w:val="single" w:color="244175" w:themeColor="accent5" w:themeShade="95" w:sz="4" w:space="0"/>
        <w:right w:val="single" w:color="244175" w:themeColor="accent5" w:themeShade="95" w:sz="4" w:space="0"/>
        <w:insideH w:val="single" w:color="244175" w:themeColor="accent5" w:themeShade="95" w:sz="4" w:space="0"/>
        <w:insideV w:val="single" w:color="244175" w:themeColor="accent5" w:themeShade="95" w:sz="4" w:space="0"/>
      </w:tblBorders>
    </w:tblPr>
    <w:tblStylePr w:type="firstRow">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tblStylePr w:type="firstCol">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cPr>
        <w:shd w:val="clear" w:color="D8E2F2" w:themeColor="accent5" w:themeTint="34" w:fill="D8E2F2"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8E2F2" w:themeColor="accent5" w:themeTint="34" w:fill="D8E2F2" w:themeFill="accent5"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95c14c9">
    <w:name w:val="Bordered &amp; Lined - Accent 6795c14c9"/>
    <w:basedOn w:val="61463ef8"/>
    <w:qFormat/>
    <w:uiPriority w:val="99"/>
    <w:pPr>
      <w:spacing w:after="0" w:line="240" w:lineRule="auto"/>
    </w:pPr>
    <w:rPr>
      <w:color w:val="404040"/>
    </w:rPr>
    <w:tblPr>
      <w:tblBorders>
        <w:top w:val="single" w:color="416529" w:themeColor="accent6" w:themeShade="95" w:sz="4" w:space="0"/>
        <w:left w:val="single" w:color="416529" w:themeColor="accent6" w:themeShade="95" w:sz="4" w:space="0"/>
        <w:bottom w:val="single" w:color="416529" w:themeColor="accent6" w:themeShade="95" w:sz="4" w:space="0"/>
        <w:right w:val="single" w:color="416529" w:themeColor="accent6" w:themeShade="95" w:sz="4" w:space="0"/>
        <w:insideH w:val="single" w:color="416529" w:themeColor="accent6" w:themeShade="95" w:sz="4" w:space="0"/>
        <w:insideV w:val="single" w:color="416529" w:themeColor="accent6" w:themeShade="95" w:sz="4" w:space="0"/>
      </w:tblBorders>
    </w:tblPr>
    <w:tblStylePr w:type="firstRow">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tblStylePr w:type="firstCol">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2aca9607">
    <w:name w:val="Bordered2aca9607"/>
    <w:basedOn w:val="61463ef8"/>
    <w:qFormat/>
    <w:uiPriority w:val="99"/>
    <w:pPr>
      <w:spacing w:after="0" w:line="240" w:lineRule="auto"/>
    </w:pPr>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Vert"/>
    <w:tblStylePr w:type="band2Vert"/>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c92072f9">
    <w:name w:val="Bordered - Accent 1c92072f9"/>
    <w:basedOn w:val="61463ef8"/>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rFonts w:ascii="Arial" w:hAnsi="Arial"/>
        <w:color w:val="404040"/>
        <w:sz w:val="22"/>
      </w:rPr>
      <w:tcPr>
        <w:tcBorders>
          <w:bottom w:val="single" w:color="5B9BD5" w:themeColor="accent1" w:sz="12" w:space="0"/>
        </w:tcBorders>
      </w:tcPr>
    </w:tblStylePr>
    <w:tblStylePr w:type="lastRow">
      <w:rPr>
        <w:rFonts w:ascii="Arial" w:hAnsi="Arial"/>
        <w:color w:val="404040"/>
        <w:sz w:val="22"/>
      </w:rPr>
      <w:tcPr>
        <w:tcBorders>
          <w:top w:val="single" w:color="5B9BD5"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5B9BD5" w:themeColor="accent1" w:sz="12" w:space="0"/>
        </w:tcBorders>
      </w:tc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1bb256e">
    <w:name w:val="Bordered - Accent 251bb256e"/>
    <w:basedOn w:val="61463ef8"/>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rFonts w:ascii="Arial" w:hAnsi="Arial"/>
        <w:color w:val="404040"/>
        <w:sz w:val="22"/>
      </w:rPr>
      <w:tcPr>
        <w:tcBorders>
          <w:bottom w:val="single" w:color="F4B285" w:themeColor="accent2" w:themeTint="97" w:sz="12" w:space="0"/>
        </w:tcBorders>
      </w:tcPr>
    </w:tblStylePr>
    <w:tblStylePr w:type="lastRow">
      <w:rPr>
        <w:rFonts w:ascii="Arial" w:hAnsi="Arial"/>
        <w:color w:val="404040"/>
        <w:sz w:val="22"/>
      </w:rPr>
      <w:tcPr>
        <w:tcBorders>
          <w:top w:val="single" w:color="F4B28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4B285" w:themeColor="accent2" w:themeTint="97" w:sz="12" w:space="0"/>
        </w:tcBorders>
      </w:tc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ab8bb53">
    <w:name w:val="Bordered - Accent 38ab8bb53"/>
    <w:basedOn w:val="61463ef8"/>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rFonts w:ascii="Arial" w:hAnsi="Arial"/>
        <w:color w:val="404040"/>
        <w:sz w:val="22"/>
      </w:rPr>
      <w:tcPr>
        <w:tcBorders>
          <w:bottom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9C9C9" w:themeColor="accent3" w:themeTint="98" w:sz="12" w:space="0"/>
        </w:tcBorders>
      </w:tc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28f6ed4">
    <w:name w:val="Bordered - Accent 4628f6ed4"/>
    <w:basedOn w:val="61463ef8"/>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rFonts w:ascii="Arial" w:hAnsi="Arial"/>
        <w:color w:val="404040"/>
        <w:sz w:val="22"/>
      </w:rPr>
      <w:tcPr>
        <w:tcBorders>
          <w:bottom w:val="single" w:color="FFD864" w:themeColor="accent4" w:themeTint="9A" w:sz="12" w:space="0"/>
        </w:tcBorders>
      </w:tcPr>
    </w:tblStylePr>
    <w:tblStylePr w:type="lastRow">
      <w:rPr>
        <w:rFonts w:ascii="Arial" w:hAnsi="Arial"/>
        <w:color w:val="404040"/>
        <w:sz w:val="22"/>
      </w:rPr>
      <w:tcPr>
        <w:tcBorders>
          <w:top w:val="single" w:color="FFD864"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FD864" w:themeColor="accent4" w:themeTint="9A" w:sz="12" w:space="0"/>
        </w:tcBorders>
      </w:tc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ba380261">
    <w:name w:val="Bordered - Accent 5ba380261"/>
    <w:basedOn w:val="61463ef8"/>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rFonts w:ascii="Arial" w:hAnsi="Arial"/>
        <w:color w:val="404040"/>
        <w:sz w:val="22"/>
      </w:rPr>
      <w:tcPr>
        <w:tcBorders>
          <w:bottom w:val="single" w:color="8EA9DB" w:themeColor="accent5" w:themeTint="9A" w:sz="12" w:space="0"/>
        </w:tcBorders>
      </w:tcPr>
    </w:tblStylePr>
    <w:tblStylePr w:type="lastRow">
      <w:rPr>
        <w:rFonts w:ascii="Arial" w:hAnsi="Arial"/>
        <w:color w:val="404040"/>
        <w:sz w:val="22"/>
      </w:rPr>
      <w:tcPr>
        <w:tcBorders>
          <w:top w:val="single" w:color="8EA9DB"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8EA9DB" w:themeColor="accent5" w:themeTint="9A" w:sz="12" w:space="0"/>
        </w:tcBorders>
      </w:tc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21aa59b">
    <w:name w:val="Bordered - Accent 6621aa59b"/>
    <w:basedOn w:val="61463ef8"/>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rFonts w:ascii="Arial" w:hAnsi="Arial"/>
        <w:color w:val="404040"/>
        <w:sz w:val="22"/>
      </w:rPr>
      <w:tcPr>
        <w:tcBorders>
          <w:bottom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A9D08E" w:themeColor="accent6" w:themeTint="98" w:sz="12" w:space="0"/>
        </w:tcBorders>
      </w:tc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b48b711">
    <w:name w:val="Heading 1 Char1b48b711"/>
    <w:basedOn w:val="89cef8cd"/>
    <w:link w:val="2"/>
    <w:qFormat/>
    <w:uiPriority w:val="9"/>
    <w:rPr>
      <w:rFonts w:ascii="Arial" w:hAnsi="Arial" w:eastAsia="Arial" w:cs="Arial"/>
      <w:color w:val="2E75B6" w:themeColor="accent1" w:themeShade="BF"/>
      <w:sz w:val="40"/>
      <w:szCs w:val="4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3feb84b3">
    <w:name w:val="Heading 2 Char3feb84b3"/>
    <w:basedOn w:val="89cef8cd"/>
    <w:link w:val="3"/>
    <w:qFormat/>
    <w:uiPriority w:val="9"/>
    <w:rPr>
      <w:rFonts w:ascii="Arial" w:hAnsi="Arial" w:eastAsia="Arial" w:cs="Arial"/>
      <w:color w:val="2E75B6" w:themeColor="accent1" w:themeShade="BF"/>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bacf1fc4">
    <w:name w:val="Heading 3 Charbacf1fc4"/>
    <w:basedOn w:val="89cef8cd"/>
    <w:link w:val="4"/>
    <w:qFormat/>
    <w:uiPriority w:val="9"/>
    <w:rPr>
      <w:rFonts w:ascii="Arial" w:hAnsi="Arial" w:eastAsia="Arial" w:cs="Arial"/>
      <w:color w:val="2E75B6" w:themeColor="accent1" w:themeShade="BF"/>
      <w:sz w:val="28"/>
      <w:szCs w:val="2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c4bc03a1">
    <w:name w:val="Heading 4 Charc4bc03a1"/>
    <w:basedOn w:val="89cef8cd"/>
    <w:link w:val="5"/>
    <w:qFormat/>
    <w:uiPriority w:val="9"/>
    <w:rPr>
      <w:rFonts w:ascii="Arial" w:hAnsi="Arial" w:eastAsia="Arial" w:cs="Arial"/>
      <w:i/>
      <w:iCs/>
      <w:color w:val="2E75B6"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6aa7939c">
    <w:name w:val="Heading 5 Char6aa7939c"/>
    <w:basedOn w:val="89cef8cd"/>
    <w:link w:val="6"/>
    <w:qFormat/>
    <w:uiPriority w:val="9"/>
    <w:rPr>
      <w:rFonts w:ascii="Arial" w:hAnsi="Arial" w:eastAsia="Arial" w:cs="Arial"/>
      <w:color w:val="2E75B6"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9bd97008">
    <w:name w:val="Heading 6 Char9bd97008"/>
    <w:basedOn w:val="89cef8cd"/>
    <w:link w:val="7"/>
    <w:qFormat/>
    <w:uiPriority w:val="9"/>
    <w:rPr>
      <w:rFonts w:ascii="Arial" w:hAnsi="Arial" w:eastAsia="Arial" w:cs="Arial"/>
      <w:i/>
      <w:iCs/>
      <w:color w:val="595959" w:themeColor="text1" w:themeTint="A6"/>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92cd48af">
    <w:name w:val="Heading 7 Char92cd48af"/>
    <w:basedOn w:val="89cef8cd"/>
    <w:link w:val="8"/>
    <w:qFormat/>
    <w:uiPriority w:val="9"/>
    <w:rPr>
      <w:rFonts w:ascii="Arial" w:hAnsi="Arial" w:eastAsia="Arial" w:cs="Arial"/>
      <w:color w:val="595959" w:themeColor="text1" w:themeTint="A6"/>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dea2d945">
    <w:name w:val="Heading 8 Chardea2d945"/>
    <w:basedOn w:val="89cef8cd"/>
    <w:link w:val="9"/>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4ec0d4b">
    <w:name w:val="Heading 9 Char14ec0d4b"/>
    <w:basedOn w:val="89cef8cd"/>
    <w:link w:val="10"/>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8439890">
    <w:name w:val="Title Char18439890"/>
    <w:basedOn w:val="89cef8cd"/>
    <w:link w:val="21"/>
    <w:qFormat/>
    <w:uiPriority w:val="10"/>
    <w:rPr>
      <w:rFonts w:ascii="Arial" w:hAnsi="Arial" w:eastAsia="Arial" w:cs="Arial"/>
      <w:spacing w:val="-10"/>
      <w:sz w:val="56"/>
      <w:szCs w:val="56"/>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dd45d879">
    <w:name w:val="Subtitle Chardd45d879"/>
    <w:basedOn w:val="89cef8cd"/>
    <w:link w:val="18"/>
    <w:qFormat/>
    <w:uiPriority w:val="11"/>
    <w:rPr>
      <w:color w:val="595959" w:themeColor="text1" w:themeTint="A6"/>
      <w:spacing w:val="15"/>
      <w:sz w:val="28"/>
      <w:szCs w:val="28"/>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297f6ba3">
    <w:name w:val="Quote297f6ba3"/>
    <w:basedOn w:val="aa528885"/>
    <w:next w:val="1"/>
    <w:link w:val="171"/>
    <w:semiHidden/>
    <w:unhideWhenUsed/>
    <w:qFormat/>
    <w:uiPriority w:val="99"/>
    <w:pPr>
      <w:spacing w:before="160"/>
      <w:jc w:val="center"/>
    </w:pPr>
    <w:rPr>
      <w:i/>
      <w:iCs/>
      <w:color w:val="404040" w:themeColor="text1" w:themeTint="BF"/>
      <w14:textFill>
        <w14:solidFill>
          <w14:schemeClr w14:val="tx1">
            <w14:lumMod w14:val="75000"/>
            <w14:lumOff w14:val="2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7c510d04">
    <w:name w:val="Quote Char7c510d04"/>
    <w:basedOn w:val="89cef8cd"/>
    <w:link w:val="170"/>
    <w:qFormat/>
    <w:uiPriority w:val="29"/>
    <w:rPr>
      <w:i/>
      <w:iCs/>
      <w:color w:val="404040" w:themeColor="text1" w:themeTint="BF"/>
      <w14:textFill>
        <w14:solidFill>
          <w14:schemeClr w14:val="tx1">
            <w14:lumMod w14:val="75000"/>
            <w14:lumOff w14:val="2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d4f2623b">
    <w:name w:val="List Paragraphd4f2623b"/>
    <w:basedOn w:val="aa528885"/>
    <w:semiHidden/>
    <w:unhideWhenUsed/>
    <w:qFormat/>
    <w:uiPriority w:val="99"/>
    <w:pPr>
      <w:ind w:left="720"/>
      <w:contextualSpacing/>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f4e1e122">
    <w:name w:val="Intense Emphasisf4e1e122"/>
    <w:basedOn w:val="89cef8cd"/>
    <w:qFormat/>
    <w:uiPriority w:val="21"/>
    <w:rPr>
      <w:i/>
      <w:iCs/>
      <w:color w:val="2E75B6"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5b5e20d">
    <w:name w:val="Intense Quote15b5e20d"/>
    <w:basedOn w:val="aa528885"/>
    <w:next w:val="1"/>
    <w:link w:val="175"/>
    <w:semiHidden/>
    <w:unhideWhenUsed/>
    <w:qFormat/>
    <w:uiPriority w:val="99"/>
    <w:pPr>
      <w:pBdr>
        <w:top w:val="single" w:color="2E75B5" w:themeColor="accent1" w:themeShade="BF" w:sz="4" w:space="10"/>
        <w:bottom w:val="single" w:color="2E75B5" w:themeColor="accent1" w:themeShade="BF" w:sz="4" w:space="10"/>
      </w:pBdr>
      <w:spacing w:before="360" w:after="360"/>
      <w:ind w:left="864" w:right="864"/>
      <w:jc w:val="center"/>
    </w:pPr>
    <w:rPr>
      <w:i/>
      <w:iCs/>
      <w:color w:val="2E75B6"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d17eed62">
    <w:name w:val="Intense Quote Chard17eed62"/>
    <w:basedOn w:val="89cef8cd"/>
    <w:link w:val="174"/>
    <w:qFormat/>
    <w:uiPriority w:val="30"/>
    <w:rPr>
      <w:i/>
      <w:iCs/>
      <w:color w:val="2E75B6"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a6a03fbf">
    <w:name w:val="Intense Referencea6a03fbf"/>
    <w:basedOn w:val="89cef8cd"/>
    <w:qFormat/>
    <w:uiPriority w:val="32"/>
    <w:rPr>
      <w:b/>
      <w:bCs/>
      <w:smallCaps/>
      <w:color w:val="2E75B6" w:themeColor="accent1" w:themeShade="BF"/>
      <w:spacing w:val="5"/>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0e2fd6b4">
    <w:name w:val="No Spacing0e2fd6b4"/>
    <w:basedOn w:val="aa528885"/>
    <w:semiHidden/>
    <w:unhideWhenUsed/>
    <w:uiPriority w:val="99"/>
    <w:pPr>
      <w:spacing w:after="0" w:line="240" w:lineRule="auto"/>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44118868">
    <w:name w:val="Subtle Emphasis44118868"/>
    <w:basedOn w:val="89cef8cd"/>
    <w:qFormat/>
    <w:uiPriority w:val="19"/>
    <w:rPr>
      <w:i/>
      <w:iCs/>
      <w:color w:val="404040" w:themeColor="text1" w:themeTint="BF"/>
      <w14:textFill>
        <w14:solidFill>
          <w14:schemeClr w14:val="tx1">
            <w14:lumMod w14:val="75000"/>
            <w14:lumOff w14:val="2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96765dfa">
    <w:name w:val="Subtle Reference96765dfa"/>
    <w:basedOn w:val="89cef8cd"/>
    <w:qFormat/>
    <w:uiPriority w:val="31"/>
    <w:rPr>
      <w:smallCaps/>
      <w:color w:val="595959" w:themeColor="text1" w:themeTint="A6"/>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4b6aa19d">
    <w:name w:val="Book Title4b6aa19d"/>
    <w:basedOn w:val="89cef8cd"/>
    <w:qFormat/>
    <w:uiPriority w:val="33"/>
    <w:rPr>
      <w:b/>
      <w:bCs/>
      <w:i/>
      <w:iCs/>
      <w:spacing w:val="5"/>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a4526503">
    <w:name w:val="Header Chara4526503"/>
    <w:basedOn w:val="89cef8cd"/>
    <w:link w:val="17"/>
    <w:qFormat/>
    <w:uiPriority w:val="99"/>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bc11bb67">
    <w:name w:val="Footer Charbc11bb67"/>
    <w:basedOn w:val="89cef8cd"/>
    <w:link w:val="16"/>
    <w:qFormat/>
    <w:uiPriority w:val="99"/>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f46f79f2">
    <w:name w:val="Footnote Text Charf46f79f2"/>
    <w:basedOn w:val="89cef8cd"/>
    <w:link w:val="19"/>
    <w:semiHidden/>
    <w:qFormat/>
    <w:uiPriority w:val="99"/>
    <w:rPr>
      <w:sz w:val="20"/>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84">
    <w:name w:val="Endnote Text Char184"/>
    <w:basedOn w:val="89cef8cd"/>
    <w:link w:val="14"/>
    <w:semiHidden/>
    <w:qFormat/>
    <w:uiPriority w:val="99"/>
    <w:rPr>
      <w:sz w:val="20"/>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185">
    <w:name w:val="TOC Heading185"/>
    <w:unhideWhenUsed/>
    <w:qFormat/>
    <w:uiPriority w:val="39"/>
    <w:rPr>
      <w:rFonts w:hint="default" w:ascii="Times New Roman" w:hAnsi="Times New Roman" w:eastAsia="宋体" w:cs="Times New Roman"/>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186">
    <w:name w:val="Default186"/>
    <w:qFormat/>
    <w:uiPriority w:val="0"/>
    <w:pPr>
      <w:widowControl w:val="0"/>
    </w:pPr>
    <w:rPr>
      <w:rFonts w:hint="default" w:ascii="宋体" w:hAnsi="Times New Roman" w:eastAsia="宋体" w:cs="宋体"/>
      <w:color w:val="000000"/>
      <w:sz w:val="24"/>
      <w:szCs w:val="24"/>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87">
    <w:name w:val="标题 2 Char187"/>
    <w:basedOn w:val="89cef8cd"/>
    <w:link w:val="3"/>
    <w:qFormat/>
    <w:uiPriority w:val="0"/>
    <w:rPr>
      <w:rFonts w:ascii="Arial" w:hAnsi="Arial" w:eastAsia="黑体" w:cs="Times New Roman"/>
      <w:b/>
      <w:bCs/>
      <w:kern w:val="2"/>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88">
    <w:name w:val="批注文字 Char188"/>
    <w:basedOn w:val="89cef8cd"/>
    <w:link w:val="12"/>
    <w:qFormat/>
    <w:uiPriority w:val="0"/>
    <w:rPr>
      <w:rFonts w:ascii="Times New Roman" w:hAnsi="Times New Roman" w:eastAsia="宋体" w:cs="Times New Roman"/>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89">
    <w:name w:val="批注框文本 Char189"/>
    <w:basedOn w:val="89cef8cd"/>
    <w:link w:val="15"/>
    <w:qFormat/>
    <w:uiPriority w:val="0"/>
    <w:rPr>
      <w:rFonts w:ascii="Times New Roman" w:hAnsi="Times New Roman" w:eastAsia="宋体" w:cs="Times New Roman"/>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90">
    <w:name w:val="页脚 Char190"/>
    <w:basedOn w:val="89cef8cd"/>
    <w:link w:val="16"/>
    <w:qFormat/>
    <w:uiPriority w:val="99"/>
    <w:rPr>
      <w:rFonts w:ascii="Calibri" w:hAnsi="Calibri" w:eastAsia="宋体" w:cs="Times New Roman"/>
      <w:kern w:val="2"/>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91">
    <w:name w:val="页眉 Char191"/>
    <w:basedOn w:val="89cef8cd"/>
    <w:link w:val="17"/>
    <w:qFormat/>
    <w:uiPriority w:val="0"/>
    <w:rPr>
      <w:rFonts w:ascii="Times New Roman" w:hAnsi="Times New Roman" w:eastAsia="宋体" w:cs="Times New Roman"/>
      <w:kern w:val="2"/>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192">
    <w:name w:val="Char Char Char Char Char Char Char Char Char Char Char Char192"/>
    <w:basedOn w:val="aa528885"/>
    <w:qFormat/>
    <w:uiPriority w:val="0"/>
    <w:pPr>
      <w:widowControl/>
      <w:spacing w:after="160" w:line="240" w:lineRule="exact"/>
      <w:jc w:val="left"/>
    </w:pPr>
    <w:rPr>
      <w:rFonts w:hint="default" w:ascii="Tahoma" w:hAnsi="Tahoma" w:cs="Tahoma"/>
      <w:kern w:val="2"/>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193">
    <w:name w:val="_Style 22193"/>
    <w:semiHidden/>
    <w:qFormat/>
    <w:uiPriority w:val="99"/>
    <w:rPr>
      <w:rFonts w:ascii="Calibri" w:hAnsi="Calibri" w:eastAsia="宋体" w:cs="Times New Roman"/>
      <w:kern w:val="2"/>
      <w:sz w:val="21"/>
      <w:szCs w:val="22"/>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194">
    <w:name w:val="ecxmsonormal194"/>
    <w:basedOn w:val="aa528885"/>
    <w:qFormat/>
    <w:uiPriority w:val="0"/>
    <w:pPr>
      <w:widowControl/>
      <w:spacing w:after="324" w:line="240" w:lineRule="auto"/>
      <w:jc w:val="left"/>
    </w:pPr>
    <w:rPr>
      <w:rFonts w:hint="default" w:ascii="宋体" w:hAnsi="宋体" w:cs="宋体"/>
      <w:kern w:val="0"/>
      <w:sz w:val="24"/>
      <w:szCs w:val="2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95">
    <w:name w:val="标题 1 Char195"/>
    <w:basedOn w:val="89cef8cd"/>
    <w:link w:val="2"/>
    <w:qFormat/>
    <w:uiPriority w:val="9"/>
    <w:rPr>
      <w:rFonts w:ascii="Times New Roman" w:hAnsi="Times New Roman" w:eastAsia="黑体" w:cs="Times New Roman"/>
      <w:b/>
      <w:bCs/>
      <w:kern w:val="44"/>
      <w:sz w:val="32"/>
      <w:szCs w:val="4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96">
    <w:name w:val="标题 3 Char196"/>
    <w:basedOn w:val="89cef8cd"/>
    <w:link w:val="4"/>
    <w:semiHidden/>
    <w:uiPriority w:val="9"/>
    <w:rPr>
      <w:rFonts w:ascii="Times New Roman" w:hAnsi="Times New Roman" w:eastAsia="微软简仿宋" w:cs="Times New Roman"/>
      <w:b/>
      <w:bCs/>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97">
    <w:name w:val="批注主题 Char197"/>
    <w:basedOn w:val="188"/>
    <w:link w:val="22"/>
    <w:semiHidden/>
    <w:qFormat/>
    <w:uiPriority w:val="99"/>
    <w:rPr>
      <w:b/>
      <w:bCs/>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198">
    <w:name w:val="_Style 21198"/>
    <w:semiHidden/>
    <w:qFormat/>
    <w:uiPriority w:val="99"/>
    <w:rPr>
      <w:rFonts w:ascii="Calibri" w:hAnsi="Calibri" w:eastAsia="宋体" w:cs="Times New Roman"/>
      <w:kern w:val="2"/>
      <w:sz w:val="21"/>
      <w:szCs w:val="22"/>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99">
    <w:name w:val="grame199"/>
    <w:qFormat/>
    <w:uiPriority w:val="0"/>
    <w:rPr>
      <w:rFonts w:ascii="Times New Roman" w:hAnsi="Times New Roman" w:eastAsia="宋体" w:cs="Times New Roman"/>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200">
    <w:name w:val="default200"/>
    <w:basedOn w:val="aa528885"/>
    <w:qFormat/>
    <w:uiPriority w:val="0"/>
    <w:pPr>
      <w:widowControl/>
      <w:spacing w:before="100" w:beforeAutospacing="1" w:after="100" w:afterAutospacing="1" w:line="240" w:lineRule="auto"/>
      <w:jc w:val="left"/>
    </w:pPr>
    <w:rPr>
      <w:rFonts w:hint="default" w:ascii="宋体" w:hAnsi="宋体" w:cs="宋体"/>
      <w:kern w:val="0"/>
      <w:sz w:val="24"/>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styles.xml" Type="http://schemas.openxmlformats.org/officeDocument/2006/relationships/styles"/><Relationship Id="rId3" Target="media/image1.png" Type="http://schemas.openxmlformats.org/officeDocument/2006/relationships/image"/></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2026-03-20T08:00:47Z</dcterms:created>
  <dc:creator>Apache POI</dc:creator>
</cp:coreProperties>
</file>