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华夏理财固定收益增强型封闭式理财产品401号</w:t>
      </w: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Z7003926000500</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华夏理财固定收益增强型封闭式理财产品401号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A份额简称：“华夏理财固收增强封闭式401号97天A”</w:t>
            </w:r>
            <w:r>
              <w:rPr>
                <w:rFonts w:ascii="仿宋" w:hAnsi="仿宋" w:eastAsia="仿宋"/>
                <w:b/>
                <w:bCs/>
                <w:szCs w:val="21"/>
                <w:highlight w:val="none"/>
              </w:rPr>
              <w:br w:type="textWrapping"/>
            </w:r>
            <w:r>
              <w:rPr>
                <w:rFonts w:ascii="仿宋" w:hAnsi="仿宋" w:eastAsia="仿宋"/>
                <w:b/>
                <w:bCs/>
                <w:szCs w:val="21"/>
                <w:highlight w:val="none"/>
              </w:rPr>
              <w:t>B份额简称：“华夏理财固收增强封闭式401号97天B”</w:t>
            </w:r>
            <w:r>
              <w:rPr>
                <w:rFonts w:ascii="仿宋" w:hAnsi="仿宋" w:eastAsia="仿宋"/>
                <w:b/>
                <w:bCs/>
                <w:szCs w:val="21"/>
                <w:highlight w:val="none"/>
              </w:rPr>
              <w:br w:type="textWrapping"/>
            </w:r>
            <w:r>
              <w:rPr>
                <w:rFonts w:ascii="仿宋" w:hAnsi="仿宋" w:eastAsia="仿宋"/>
                <w:b/>
                <w:bCs/>
                <w:szCs w:val="21"/>
                <w:highlight w:val="none"/>
              </w:rPr>
              <w:t>C份额简称：“华夏理财固收增强封闭式401号97天C”</w:t>
            </w:r>
            <w:r>
              <w:rPr>
                <w:rFonts w:ascii="仿宋" w:hAnsi="仿宋" w:eastAsia="仿宋"/>
                <w:b/>
                <w:bCs/>
                <w:szCs w:val="21"/>
                <w:highlight w:val="none"/>
              </w:rPr>
              <w:br w:type="textWrapping"/>
            </w:r>
            <w:r>
              <w:rPr>
                <w:rFonts w:ascii="仿宋" w:hAnsi="仿宋" w:eastAsia="仿宋"/>
                <w:b/>
                <w:bCs/>
                <w:szCs w:val="21"/>
                <w:highlight w:val="none"/>
              </w:rPr>
              <w:t>D份额简称：“华夏理财固收增强封闭式401号97天D（代发薪专属）”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26311046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A份额代码：26311046A</w:t>
            </w:r>
            <w:r>
              <w:rPr>
                <w:rFonts w:ascii="仿宋" w:hAnsi="仿宋" w:eastAsia="仿宋"/>
                <w:bCs/>
                <w:szCs w:val="21"/>
                <w:highlight w:val="none"/>
                <w:u w:val="none"/>
              </w:rPr>
              <w:br w:type="textWrapping"/>
            </w:r>
            <w:r>
              <w:rPr>
                <w:rFonts w:ascii="仿宋" w:hAnsi="仿宋" w:eastAsia="仿宋"/>
                <w:bCs/>
                <w:szCs w:val="21"/>
                <w:highlight w:val="none"/>
                <w:u w:val="none"/>
              </w:rPr>
              <w:t>B份额代码：26311046B</w:t>
            </w:r>
            <w:r>
              <w:rPr>
                <w:rFonts w:ascii="仿宋" w:hAnsi="仿宋" w:eastAsia="仿宋"/>
                <w:bCs/>
                <w:szCs w:val="21"/>
                <w:highlight w:val="none"/>
                <w:u w:val="none"/>
              </w:rPr>
              <w:br w:type="textWrapping"/>
            </w:r>
            <w:r>
              <w:rPr>
                <w:rFonts w:ascii="仿宋" w:hAnsi="仿宋" w:eastAsia="仿宋"/>
                <w:bCs/>
                <w:szCs w:val="21"/>
                <w:highlight w:val="none"/>
                <w:u w:val="none"/>
              </w:rPr>
              <w:t>C份额代码：26311046C</w:t>
            </w:r>
            <w:r>
              <w:rPr>
                <w:rFonts w:ascii="仿宋" w:hAnsi="仿宋" w:eastAsia="仿宋"/>
                <w:bCs/>
                <w:szCs w:val="21"/>
                <w:highlight w:val="none"/>
                <w:u w:val="none"/>
              </w:rPr>
              <w:br w:type="textWrapping"/>
            </w:r>
            <w:r>
              <w:rPr>
                <w:rFonts w:ascii="仿宋" w:hAnsi="仿宋" w:eastAsia="仿宋"/>
                <w:bCs/>
                <w:szCs w:val="21"/>
                <w:highlight w:val="none"/>
                <w:u w:val="none"/>
              </w:rPr>
              <w:t>D份额代码：26311046D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Z7003926000500</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A份额：业绩比较基准为2.15%-2.60%（年化）；B份额：业绩比较基准为2.07%-2.52%（年化）；C份额：业绩比较基准为1.97%-2.42%（年化）；D份额：业绩比较基准为2.17%-2.62%（年化）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以产品投资于债券类资产仓位80%-100%，优先股资产仓位0%-20%，组合杠杆率100%-140%为例，参考符合久期要求的目标债券到期收益率、优先股资产目标收益率，结合产品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_Hlk290294163"/>
            <w:bookmarkStart w:id="2" w:name="OLE_LINK3"/>
            <w:bookmarkStart w:id="3" w:name="OLE_LINK2"/>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2026年4月2日</w:t>
            </w:r>
            <w:r>
              <w:rPr>
                <w:rFonts w:hint="eastAsia" w:ascii="仿宋" w:hAnsi="仿宋" w:eastAsia="仿宋"/>
                <w:bCs/>
                <w:szCs w:val="21"/>
                <w:highlight w:val="none"/>
              </w:rPr>
              <w:t>－</w:t>
            </w:r>
            <w:r>
              <w:rPr>
                <w:rFonts w:hint="eastAsia" w:ascii="仿宋" w:hAnsi="仿宋" w:eastAsia="仿宋"/>
                <w:bCs/>
                <w:szCs w:val="21"/>
                <w:highlight w:val="none"/>
              </w:rPr>
              <w:t>2026年4月8日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2026年4月9日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97</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2026年7月15日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A份额：0.12%/年，以前一日资产净值为基数，每日计提。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D份额：0.10%/年，以前一日资产净值为基数，每日计提。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0.05%</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0.05%</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ascii="仿宋" w:hAnsi="仿宋" w:eastAsia="仿宋"/>
                <w:b w:val="0"/>
                <w:bCs/>
                <w:szCs w:val="21"/>
                <w:highlight w:val="none"/>
                <w:u w:val="none"/>
              </w:rPr>
              <w:t>超额管理费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szCs w:val="21"/>
                <w:highlight w:val="none"/>
                <w:u w:val="none"/>
                <w:lang w:eastAsia="zh-CN"/>
              </w:rPr>
              <w:t>本理财产品扣除各项费用（包括销售手续费、托管费、固定管理费及其他费用等）后，年化收益率低于或等于超额计提基准，则管理人不收取超额管理费;超过超额计提基准的部分，50%归投资者所有，50%作为管理人的超额管理费。</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A份额：超额计提基准为2.375%（年化）。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B份额：超额计提基准为2.295%（年化）。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C份额：超额计提基准为2.195%（年化）。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D份额：超额计提基准为2.395%（年化）。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计算公式如下：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超额管理费=（年化收益率-超额计提基准）×当期持有天数÷365×50%×产品份额×1.0000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其中：</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年化收益率=（计提日累计单位净值-1.0000）÷1.0000×365÷当期持有天数。“产品份额”为产品份额，若有红利再投时，将剔除红利再投产生份额的影响。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投资周期内每个估值日计提超额管理费，仅作为暂估数据，用于本产品会计核算和估值日估值。仅到期/终止日为本产品超额管理费实际计提和收取日。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华夏理财有权根据市场及产品运作情况调整上述规则，并至少于生效前3个工作日通过本产品说明书约定的信息披露渠道进行公告。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Cs/>
                <w:szCs w:val="21"/>
                <w:highlight w:val="none"/>
              </w:rPr>
              <w:t>产品封闭期内每周五的份额净值，将在该周五结束后的第3个工作日公告（如周五为非工作日，则公告周五上1个工作日的份额净值）。</w:t>
            </w:r>
            <w:r>
              <w:rPr>
                <w:rFonts w:hint="eastAsia" w:ascii="仿宋" w:hAnsi="仿宋" w:eastAsia="仿宋"/>
                <w:bCs/>
                <w:szCs w:val="21"/>
                <w:highlight w:val="none"/>
              </w:rPr>
              <w:br w:type="textWrapping"/>
            </w:r>
            <w:r>
              <w:rPr>
                <w:rFonts w:hint="eastAsia" w:ascii="仿宋" w:hAnsi="仿宋" w:eastAsia="仿宋"/>
                <w:bCs/>
                <w:szCs w:val="21"/>
                <w:highlight w:val="none"/>
              </w:rPr>
              <w:tab/>
              <w:t>产品到期/终止日的份额净值，将在到期/终止日结束后的2个工作日内公告。</w:t>
            </w:r>
            <w:r>
              <w:rPr>
                <w:rFonts w:hint="eastAsia" w:ascii="仿宋" w:hAnsi="仿宋" w:eastAsia="仿宋"/>
                <w:bCs/>
                <w:szCs w:val="21"/>
                <w:highlight w:val="none"/>
              </w:rPr>
              <w:br w:type="textWrapping"/>
            </w:r>
            <w:r>
              <w:rPr>
                <w:rFonts w:hint="eastAsia" w:ascii="仿宋" w:hAnsi="仿宋" w:eastAsia="仿宋"/>
                <w:bCs/>
                <w:szCs w:val="21"/>
                <w:highlight w:val="none"/>
              </w:rPr>
              <w:tab/>
              <w:t>产品封闭期净值公告中的工作日，指上海证券交易所和深圳证券交易所的交易日，且同时为银行对外办理一般对公业务的工作日。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本产品主要投资于货币市场工具、标准化债权类资产等固定收益类资产，权益类资产。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权益类资产包括但不限于国内依法发行和上市的股票（包括主板、创业板、中小板、科创板以及其他经中国证监会核准上市的股票，包括新股申购、定向增发、大宗交易、询价转让等）、内地与香港股票市场交易互联互通机制允许买卖的香港市场股票，以及股票型、混合型公募证券投资基金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固定收益类</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80%（含）-100%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权益类</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0%-20%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例1：理财产品到期后，若根据前述超额管理费条款，管理人收取超额管理费，扣除超额管理费后的产品到期日份额净值为1.0800，客户到期获得的金额为：100,000*1.0800=108,000.00元。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例2：理财产品到期后，若根据前述超额管理费条款，管理人不收取超额管理费，产品到期日份额净值为1.0200，客户到期获得的金额为：100,000*1.0200=102,000.00元。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例3：理财产品到期后，若根据前述超额管理费条款，管理人不收取超额管理费，产品到期日份额净值为0.9980，客户到期获得的金额为：100,000*0.9980=99,800.00元。</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本理财产品所投资的货币市场工具、标准化债权类资产、权益类资产以及资产管理产品等资产。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本产品由于投资于固定收益类、权益类资产，因此可能面临如下特定风险：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5.投资于股票类资产的可能风险：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6.投资于优先股的可能风险：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7.投资于券商收益凭证的可能风险：券商收益凭证通常以证券公司的信用发行，在存续期间，证券公司可能发生解散、破产、无力清偿到期债务、资产被查封、冻结或强制执行等情形，存在无法偿付凭证本金和收益的信用风险；由于证券公司内部管理流程缺陷、人员操作失误、不合规、估值错误或者外部事件等原因而导致损失的操作风险；券商收益凭证本金和收益的偿付挂钩特定标的，包括但不限于股权、债权、信用、基金、利率、汇率、指数、期货和商品等，收益存在不确定性市场风险；根据不同的券商收益凭证结构设计，存在券商收益凭证提前终止导致产品再投资或提前终止风险。本理财产品投资于券商收益凭证，还可能面临流动性风险、政策法律风险、信息传递风险、不可抗力及意外事件风险等情形而导致无法实现投资收益甚至产品本金遭受损失的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8.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bookmarkEnd w:id="6"/>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809C4"/>
    <w:rsid w:val="02A942B9"/>
    <w:rsid w:val="037A05EF"/>
    <w:rsid w:val="053F27A4"/>
    <w:rsid w:val="0823486A"/>
    <w:rsid w:val="0CCD1E1C"/>
    <w:rsid w:val="13A825CD"/>
    <w:rsid w:val="1755281D"/>
    <w:rsid w:val="17D105FA"/>
    <w:rsid w:val="1BE5417A"/>
    <w:rsid w:val="20A63817"/>
    <w:rsid w:val="24CD5D6E"/>
    <w:rsid w:val="267B6F01"/>
    <w:rsid w:val="27EC59C9"/>
    <w:rsid w:val="30A5295D"/>
    <w:rsid w:val="33051DC0"/>
    <w:rsid w:val="3BF97BF5"/>
    <w:rsid w:val="3C261AE8"/>
    <w:rsid w:val="40E070FE"/>
    <w:rsid w:val="418A1A7B"/>
    <w:rsid w:val="44900788"/>
    <w:rsid w:val="44D418C3"/>
    <w:rsid w:val="485B7BAF"/>
    <w:rsid w:val="48855C04"/>
    <w:rsid w:val="4C0A12CF"/>
    <w:rsid w:val="4D525820"/>
    <w:rsid w:val="4F5551B4"/>
    <w:rsid w:val="53304789"/>
    <w:rsid w:val="534D4621"/>
    <w:rsid w:val="54511D02"/>
    <w:rsid w:val="58D10596"/>
    <w:rsid w:val="5A467247"/>
    <w:rsid w:val="5C326053"/>
    <w:rsid w:val="61750674"/>
    <w:rsid w:val="657123B4"/>
    <w:rsid w:val="698B02B8"/>
    <w:rsid w:val="6B163964"/>
    <w:rsid w:val="6EA82FFE"/>
    <w:rsid w:val="6FD44CAB"/>
    <w:rsid w:val="70091B7E"/>
    <w:rsid w:val="70FE5BF1"/>
    <w:rsid w:val="71047AFA"/>
    <w:rsid w:val="77CB7519"/>
    <w:rsid w:val="7B2A0CBB"/>
    <w:rsid w:val="7C0E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endnote text"/>
    <w:basedOn w:val="1"/>
    <w:link w:val="181"/>
    <w:semiHidden/>
    <w:unhideWhenUsed/>
    <w:qFormat/>
    <w:uiPriority w:val="99"/>
    <w:pPr>
      <w:spacing w:after="0" w:line="240" w:lineRule="auto"/>
    </w:pPr>
    <w:rPr>
      <w:sz w:val="20"/>
      <w:szCs w:val="20"/>
    </w:rPr>
  </w:style>
  <w:style w:type="paragraph" w:styleId="15">
    <w:name w:val="footer"/>
    <w:basedOn w:val="1"/>
    <w:link w:val="179"/>
    <w:unhideWhenUsed/>
    <w:qFormat/>
    <w:uiPriority w:val="99"/>
    <w:pPr>
      <w:tabs>
        <w:tab w:val="center" w:pos="4844"/>
        <w:tab w:val="right" w:pos="9689"/>
      </w:tabs>
      <w:spacing w:after="0" w:line="240" w:lineRule="auto"/>
    </w:pPr>
  </w:style>
  <w:style w:type="paragraph" w:styleId="16">
    <w:name w:val="header"/>
    <w:basedOn w:val="1"/>
    <w:link w:val="178"/>
    <w:unhideWhenUsed/>
    <w:qFormat/>
    <w:uiPriority w:val="99"/>
    <w:pPr>
      <w:tabs>
        <w:tab w:val="center" w:pos="4844"/>
        <w:tab w:val="right" w:pos="9689"/>
      </w:tabs>
      <w:spacing w:after="0" w:line="240" w:lineRule="auto"/>
    </w:pPr>
  </w:style>
  <w:style w:type="paragraph" w:styleId="17">
    <w:name w:val="Subtitle"/>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180"/>
    <w:semiHidden/>
    <w:unhideWhenUsed/>
    <w:qFormat/>
    <w:uiPriority w:val="99"/>
    <w:pPr>
      <w:spacing w:after="0" w:line="240" w:lineRule="auto"/>
    </w:pPr>
    <w:rPr>
      <w:sz w:val="20"/>
      <w:szCs w:val="20"/>
    </w:rPr>
  </w:style>
  <w:style w:type="paragraph" w:styleId="19">
    <w:name w:val="table of figures"/>
    <w:basedOn w:val="1"/>
    <w:next w:val="1"/>
    <w:unhideWhenUsed/>
    <w:qFormat/>
    <w:uiPriority w:val="99"/>
    <w:pPr>
      <w:spacing w:after="0" w:afterAutospacing="0"/>
    </w:pPr>
  </w:style>
  <w:style w:type="paragraph" w:styleId="20">
    <w:name w:val="Title"/>
    <w:basedOn w:val="1"/>
    <w:next w:val="1"/>
    <w:link w:val="165"/>
    <w:qFormat/>
    <w:uiPriority w:val="10"/>
    <w:pPr>
      <w:spacing w:after="80" w:line="240" w:lineRule="auto"/>
      <w:contextualSpacing/>
    </w:pPr>
    <w:rPr>
      <w:rFonts w:ascii="Arial" w:hAnsi="Arial" w:eastAsia="Arial" w:cs="Arial"/>
      <w:spacing w:val="-10"/>
      <w:sz w:val="56"/>
      <w:szCs w:val="56"/>
    </w:rPr>
  </w:style>
  <w:style w:type="table" w:styleId="22">
    <w:name w:val="Table Grid"/>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4">
    <w:name w:val="Strong"/>
    <w:basedOn w:val="23"/>
    <w:qFormat/>
    <w:uiPriority w:val="22"/>
    <w:rPr>
      <w:b/>
      <w:bCs/>
    </w:rPr>
  </w:style>
  <w:style w:type="character" w:styleId="25">
    <w:name w:val="endnote reference"/>
    <w:basedOn w:val="23"/>
    <w:semiHidden/>
    <w:unhideWhenUsed/>
    <w:qFormat/>
    <w:uiPriority w:val="99"/>
    <w:rPr>
      <w:vertAlign w:val="superscript"/>
    </w:rPr>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basedOn w:val="23"/>
    <w:unhideWhenUsed/>
    <w:qFormat/>
    <w:uiPriority w:val="99"/>
    <w:rPr>
      <w:color w:val="0563C1" w:themeColor="hyperlink"/>
      <w:u w:val="single"/>
      <w14:textFill>
        <w14:solidFill>
          <w14:schemeClr w14:val="hlink"/>
        </w14:solidFill>
      </w14:textFill>
    </w:rPr>
  </w:style>
  <w:style w:type="character" w:styleId="29">
    <w:name w:val="annotation reference"/>
    <w:qFormat/>
    <w:uiPriority w:val="0"/>
    <w:rPr>
      <w:sz w:val="21"/>
      <w:szCs w:val="21"/>
    </w:rPr>
  </w:style>
  <w:style w:type="character" w:styleId="30">
    <w:name w:val="footnote reference"/>
    <w:basedOn w:val="23"/>
    <w:semiHidden/>
    <w:unhideWhenUsed/>
    <w:qFormat/>
    <w:uiPriority w:val="99"/>
    <w:rPr>
      <w:vertAlign w:val="superscript"/>
    </w:rPr>
  </w:style>
  <w:style w:type="table" w:customStyle="1" w:styleId="31">
    <w:name w:val="Table Grid Light"/>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2">
    <w:name w:val="Plain Table 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2"/>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
    <w:name w:val="Plain Table 3"/>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4"/>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5"/>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Grid Table 1 Light"/>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8">
    <w:name w:val="Grid Table 1 Light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9">
    <w:name w:val="Grid Table 1 Light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0">
    <w:name w:val="Grid Table 1 Light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1">
    <w:name w:val="Grid Table 1 Light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2">
    <w:name w:val="Grid Table 1 Light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3">
    <w:name w:val="Grid Table 1 Light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4">
    <w:name w:val="Grid Table 2"/>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5">
    <w:name w:val="Grid Table 2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6">
    <w:name w:val="Grid Table 2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7">
    <w:name w:val="Grid Table 2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8">
    <w:name w:val="Grid Table 2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9">
    <w:name w:val="Grid Table 2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0">
    <w:name w:val="Grid Table 2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1">
    <w:name w:val="Grid Table 3"/>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2">
    <w:name w:val="Grid Table 3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3">
    <w:name w:val="Grid Table 3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4">
    <w:name w:val="Grid Table 3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5">
    <w:name w:val="Grid Table 3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6">
    <w:name w:val="Grid Table 3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7">
    <w:name w:val="Grid Table 3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8">
    <w:name w:val="Grid Table 4"/>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9">
    <w:name w:val="Grid Table 4 - Accent 1"/>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0">
    <w:name w:val="Grid Table 4 - Accent 2"/>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1">
    <w:name w:val="Grid Table 4 - Accent 3"/>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2">
    <w:name w:val="Grid Table 4 - Accent 4"/>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3">
    <w:name w:val="Grid Table 4 - Accent 5"/>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4">
    <w:name w:val="Grid Table 4 - Accent 6"/>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5">
    <w:name w:val="Grid Table 5 Dark"/>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6">
    <w:name w:val="Grid Table 5 Dark- Accent 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7">
    <w:name w:val="Grid Table 5 Dark - Accent 2"/>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8">
    <w:name w:val="Grid Table 5 Dark - Accent 3"/>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9">
    <w:name w:val="Grid Table 5 Dark- Accent 4"/>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0">
    <w:name w:val="Grid Table 5 Dark - Accent 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1">
    <w:name w:val="Grid Table 5 Dark - Accent 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2">
    <w:name w:val="Grid Table 6 Colorful"/>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3">
    <w:name w:val="Grid Table 6 Colorful - Accent 1"/>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4">
    <w:name w:val="Grid Table 6 Colorful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5">
    <w:name w:val="Grid Table 6 Colorful - Accent 3"/>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6">
    <w:name w:val="Grid Table 6 Colorful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7">
    <w:name w:val="Grid Table 6 Colorful - Accent 5"/>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8">
    <w:name w:val="Grid Table 6 Colorful - Accent 6"/>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9">
    <w:name w:val="Grid Table 7 Colorful"/>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0">
    <w:name w:val="Grid Table 7 Colorful - Accent 1"/>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1">
    <w:name w:val="Grid Table 7 Colorful - Accent 2"/>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2">
    <w:name w:val="Grid Table 7 Colorful - Accent 3"/>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3">
    <w:name w:val="Grid Table 7 Colorful - Accent 4"/>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4">
    <w:name w:val="Grid Table 7 Colorful - Accent 5"/>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 Accent 6"/>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6">
    <w:name w:val="List Table 1 Light"/>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7">
    <w:name w:val="List Table 1 Light - Accent 1"/>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8">
    <w:name w:val="List Table 1 Light - Accent 2"/>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9">
    <w:name w:val="List Table 1 Light - Accent 3"/>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0">
    <w:name w:val="List Table 1 Light - Accent 4"/>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1">
    <w:name w:val="List Table 1 Light - Accent 5"/>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2">
    <w:name w:val="List Table 1 Light - Accent 6"/>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3">
    <w:name w:val="List Table 2"/>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4">
    <w:name w:val="List Table 2 - Accent 1"/>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5">
    <w:name w:val="List Table 2 - Accent 2"/>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6">
    <w:name w:val="List Table 2 - Accent 3"/>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7">
    <w:name w:val="List Table 2 - Accent 4"/>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8">
    <w:name w:val="List Table 2 - Accent 5"/>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9">
    <w:name w:val="List Table 2 - Accent 6"/>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0">
    <w:name w:val="List Table 3"/>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1">
    <w:name w:val="List Table 3 - Accent 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2">
    <w:name w:val="List Table 3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3">
    <w:name w:val="List Table 3 - Accent 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4">
    <w:name w:val="List Table 3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5">
    <w:name w:val="List Table 3 - Accent 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6">
    <w:name w:val="List Table 3 - Accent 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7">
    <w:name w:val="List Table 4"/>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8">
    <w:name w:val="List Table 4 - Accent 1"/>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9">
    <w:name w:val="List Table 4 - Accent 2"/>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0">
    <w:name w:val="List Table 4 - Accent 3"/>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1">
    <w:name w:val="List Table 4 - Accent 4"/>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2">
    <w:name w:val="List Table 4 - Accent 5"/>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3">
    <w:name w:val="List Table 4 - Accent 6"/>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4">
    <w:name w:val="List Table 5 Dark"/>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5">
    <w:name w:val="List Table 5 Dark - Accent 1"/>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6">
    <w:name w:val="List Table 5 Dark - Accent 2"/>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7">
    <w:name w:val="List Table 5 Dark - Accent 3"/>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8">
    <w:name w:val="List Table 5 Dark - Accent 4"/>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9">
    <w:name w:val="List Table 5 Dark - Accent 5"/>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0">
    <w:name w:val="List Table 5 Dark - Accent 6"/>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1">
    <w:name w:val="List Table 6 Colorful"/>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2">
    <w:name w:val="List Table 6 Colorful - Accent 1"/>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3">
    <w:name w:val="List Table 6 Colorful - Accent 2"/>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4">
    <w:name w:val="List Table 6 Colorful - Accent 3"/>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4"/>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6">
    <w:name w:val="List Table 6 Colorful - Accent 5"/>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7">
    <w:name w:val="List Table 6 Colorful - Accent 6"/>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8">
    <w:name w:val="List Table 7 Colorful"/>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9">
    <w:name w:val="List Table 7 Colorful - Accent 1"/>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0">
    <w:name w:val="List Table 7 Colorful - Accent 2"/>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1">
    <w:name w:val="List Table 7 Colorful - Accent 3"/>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4"/>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3">
    <w:name w:val="List Table 7 Colorful - Accent 5"/>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4">
    <w:name w:val="List Table 7 Colorful - Accent 6"/>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5">
    <w:name w:val="Lined - Accent"/>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6">
    <w:name w:val="Lined - Accent 1"/>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7">
    <w:name w:val="Lined - Accent 2"/>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8">
    <w:name w:val="Lined - Accent 3"/>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9">
    <w:name w:val="Lined - Accent 4"/>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0">
    <w:name w:val="Lined - Accent 5"/>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1">
    <w:name w:val="Lined - Accent 6"/>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2">
    <w:name w:val="Bordered &amp; Lined - Accent"/>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3">
    <w:name w:val="Bordered &amp; Lined - Accent 1"/>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4">
    <w:name w:val="Bordered &amp; Lined - Accent 2"/>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5">
    <w:name w:val="Bordered &amp; Lined - Accent 3"/>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6">
    <w:name w:val="Bordered &amp; Lined - Accent 4"/>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7">
    <w:name w:val="Bordered &amp; Lined - Accent 5"/>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8">
    <w:name w:val="Bordered &amp; Lined - Accent 6"/>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9">
    <w:name w:val="Bordered"/>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0">
    <w:name w:val="Bordered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1">
    <w:name w:val="Bordered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2">
    <w:name w:val="Bordered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3">
    <w:name w:val="Bordered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4">
    <w:name w:val="Bordered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5">
    <w:name w:val="Bordered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6">
    <w:name w:val="Heading 1 Char"/>
    <w:basedOn w:val="23"/>
    <w:link w:val="2"/>
    <w:qFormat/>
    <w:uiPriority w:val="9"/>
    <w:rPr>
      <w:rFonts w:ascii="Arial" w:hAnsi="Arial" w:eastAsia="Arial" w:cs="Arial"/>
      <w:color w:val="2E75B6" w:themeColor="accent1" w:themeShade="BF"/>
      <w:sz w:val="40"/>
      <w:szCs w:val="40"/>
    </w:rPr>
  </w:style>
  <w:style w:type="character" w:customStyle="1" w:styleId="157">
    <w:name w:val="Heading 2 Char"/>
    <w:basedOn w:val="23"/>
    <w:link w:val="3"/>
    <w:qFormat/>
    <w:uiPriority w:val="9"/>
    <w:rPr>
      <w:rFonts w:ascii="Arial" w:hAnsi="Arial" w:eastAsia="Arial" w:cs="Arial"/>
      <w:color w:val="2E75B6" w:themeColor="accent1" w:themeShade="BF"/>
      <w:sz w:val="32"/>
      <w:szCs w:val="32"/>
    </w:rPr>
  </w:style>
  <w:style w:type="character" w:customStyle="1" w:styleId="158">
    <w:name w:val="Heading 3 Char"/>
    <w:basedOn w:val="23"/>
    <w:link w:val="4"/>
    <w:qFormat/>
    <w:uiPriority w:val="9"/>
    <w:rPr>
      <w:rFonts w:ascii="Arial" w:hAnsi="Arial" w:eastAsia="Arial" w:cs="Arial"/>
      <w:color w:val="2E75B6" w:themeColor="accent1" w:themeShade="BF"/>
      <w:sz w:val="28"/>
      <w:szCs w:val="28"/>
    </w:rPr>
  </w:style>
  <w:style w:type="character" w:customStyle="1" w:styleId="159">
    <w:name w:val="Heading 4 Char"/>
    <w:basedOn w:val="23"/>
    <w:link w:val="5"/>
    <w:qFormat/>
    <w:uiPriority w:val="9"/>
    <w:rPr>
      <w:rFonts w:ascii="Arial" w:hAnsi="Arial" w:eastAsia="Arial" w:cs="Arial"/>
      <w:i/>
      <w:iCs/>
      <w:color w:val="2E75B6" w:themeColor="accent1" w:themeShade="BF"/>
    </w:rPr>
  </w:style>
  <w:style w:type="character" w:customStyle="1" w:styleId="160">
    <w:name w:val="Heading 5 Char"/>
    <w:basedOn w:val="23"/>
    <w:link w:val="6"/>
    <w:qFormat/>
    <w:uiPriority w:val="9"/>
    <w:rPr>
      <w:rFonts w:ascii="Arial" w:hAnsi="Arial" w:eastAsia="Arial" w:cs="Arial"/>
      <w:color w:val="2E75B6" w:themeColor="accent1" w:themeShade="BF"/>
    </w:rPr>
  </w:style>
  <w:style w:type="character" w:customStyle="1" w:styleId="161">
    <w:name w:val="Heading 6 Char"/>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2">
    <w:name w:val="Heading 7 Char"/>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3">
    <w:name w:val="Heading 8 Char"/>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4">
    <w:name w:val="Heading 9 Char"/>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5">
    <w:name w:val="Title Char"/>
    <w:basedOn w:val="23"/>
    <w:link w:val="20"/>
    <w:qFormat/>
    <w:uiPriority w:val="10"/>
    <w:rPr>
      <w:rFonts w:ascii="Arial" w:hAnsi="Arial" w:eastAsia="Arial" w:cs="Arial"/>
      <w:spacing w:val="-10"/>
      <w:sz w:val="56"/>
      <w:szCs w:val="56"/>
    </w:rPr>
  </w:style>
  <w:style w:type="character" w:customStyle="1" w:styleId="166">
    <w:name w:val="Subtitle Char"/>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7">
    <w:name w:val="Quote"/>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8">
    <w:name w:val="Quote Char"/>
    <w:basedOn w:val="23"/>
    <w:link w:val="167"/>
    <w:qFormat/>
    <w:uiPriority w:val="29"/>
    <w:rPr>
      <w:i/>
      <w:iCs/>
      <w:color w:val="404040" w:themeColor="text1" w:themeTint="BF"/>
      <w14:textFill>
        <w14:solidFill>
          <w14:schemeClr w14:val="tx1">
            <w14:lumMod w14:val="75000"/>
            <w14:lumOff w14:val="25000"/>
          </w14:schemeClr>
        </w14:solidFill>
      </w14:textFill>
    </w:rPr>
  </w:style>
  <w:style w:type="paragraph" w:styleId="169">
    <w:name w:val="List Paragraph"/>
    <w:basedOn w:val="1"/>
    <w:qFormat/>
    <w:uiPriority w:val="34"/>
    <w:pPr>
      <w:ind w:left="720"/>
      <w:contextualSpacing/>
    </w:pPr>
  </w:style>
  <w:style w:type="character" w:customStyle="1" w:styleId="170">
    <w:name w:val="Intense Emphasis"/>
    <w:basedOn w:val="23"/>
    <w:qFormat/>
    <w:uiPriority w:val="21"/>
    <w:rPr>
      <w:i/>
      <w:iCs/>
      <w:color w:val="2E75B6" w:themeColor="accent1" w:themeShade="BF"/>
    </w:rPr>
  </w:style>
  <w:style w:type="paragraph" w:styleId="171">
    <w:name w:val="Intense Quote"/>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2">
    <w:name w:val="Intense Quote Char"/>
    <w:basedOn w:val="23"/>
    <w:link w:val="171"/>
    <w:qFormat/>
    <w:uiPriority w:val="30"/>
    <w:rPr>
      <w:i/>
      <w:iCs/>
      <w:color w:val="2E75B6" w:themeColor="accent1" w:themeShade="BF"/>
    </w:rPr>
  </w:style>
  <w:style w:type="character" w:customStyle="1" w:styleId="173">
    <w:name w:val="Intense Reference"/>
    <w:basedOn w:val="23"/>
    <w:qFormat/>
    <w:uiPriority w:val="32"/>
    <w:rPr>
      <w:b/>
      <w:bCs/>
      <w:smallCaps/>
      <w:color w:val="2E75B6" w:themeColor="accent1" w:themeShade="BF"/>
      <w:spacing w:val="5"/>
    </w:rPr>
  </w:style>
  <w:style w:type="paragraph" w:styleId="174">
    <w:name w:val="No Spacing"/>
    <w:basedOn w:val="1"/>
    <w:qFormat/>
    <w:uiPriority w:val="1"/>
    <w:pPr>
      <w:spacing w:after="0" w:line="240" w:lineRule="auto"/>
    </w:pPr>
  </w:style>
  <w:style w:type="character" w:customStyle="1" w:styleId="175">
    <w:name w:val="Subtle Emphasis"/>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176">
    <w:name w:val="Subtle Reference"/>
    <w:basedOn w:val="2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7">
    <w:name w:val="Book Title"/>
    <w:basedOn w:val="23"/>
    <w:qFormat/>
    <w:uiPriority w:val="33"/>
    <w:rPr>
      <w:b/>
      <w:bCs/>
      <w:i/>
      <w:iCs/>
      <w:spacing w:val="5"/>
    </w:rPr>
  </w:style>
  <w:style w:type="character" w:customStyle="1" w:styleId="178">
    <w:name w:val="Header Char"/>
    <w:basedOn w:val="23"/>
    <w:link w:val="16"/>
    <w:qFormat/>
    <w:uiPriority w:val="99"/>
  </w:style>
  <w:style w:type="character" w:customStyle="1" w:styleId="179">
    <w:name w:val="Footer Char"/>
    <w:basedOn w:val="23"/>
    <w:link w:val="15"/>
    <w:qFormat/>
    <w:uiPriority w:val="99"/>
  </w:style>
  <w:style w:type="character" w:customStyle="1" w:styleId="180">
    <w:name w:val="Footnote Text Char"/>
    <w:basedOn w:val="23"/>
    <w:link w:val="18"/>
    <w:semiHidden/>
    <w:qFormat/>
    <w:uiPriority w:val="99"/>
    <w:rPr>
      <w:sz w:val="20"/>
      <w:szCs w:val="20"/>
    </w:rPr>
  </w:style>
  <w:style w:type="character" w:customStyle="1" w:styleId="181">
    <w:name w:val="Endnote Text Char"/>
    <w:basedOn w:val="23"/>
    <w:link w:val="14"/>
    <w:semiHidden/>
    <w:qFormat/>
    <w:uiPriority w:val="99"/>
    <w:rPr>
      <w:sz w:val="20"/>
      <w:szCs w:val="20"/>
    </w:rPr>
  </w:style>
  <w:style w:type="paragraph" w:customStyle="1" w:styleId="182">
    <w:name w:val="TOC Heading"/>
    <w:unhideWhenUsed/>
    <w:qFormat/>
    <w:uiPriority w:val="39"/>
    <w:rPr>
      <w:rFonts w:hint="default" w:ascii="Times New Roman" w:hAnsi="Times New Roman" w:eastAsia="宋体" w:cs="Times New Roman"/>
    </w:rPr>
  </w:style>
  <w:style w:type="paragraph" w:customStyle="1" w:styleId="183">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13682</Words>
  <Characters>14929</Characters>
  <TotalTime>3</TotalTime>
  <ScaleCrop>false</ScaleCrop>
  <LinksUpToDate>false</LinksUpToDate>
  <CharactersWithSpaces>15034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张玲榕</cp:lastModifiedBy>
  <dcterms:modified xsi:type="dcterms:W3CDTF">2026-03-27T08:10:40Z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22B220A577DB4B46B09269FCB7726688</vt:lpwstr>
  </property>
  <property fmtid="{D5CDD505-2E9C-101B-9397-08002B2CF9AE}" pid="4" name="KSOTemplateDocerSaveRecord">
    <vt:lpwstr>eyJoZGlkIjoiMjE1MGZiZThiNmI2NTExN2RhZDBiMzIzMjdhOGRlM2UiLCJ1c2VySWQiOiIxMDMwMjc2MDEyIn0=</vt:lpwstr>
  </property>
</Properties>
</file>